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B9C" w14:textId="43B8DAC3" w:rsidR="00D757DE" w:rsidRDefault="00D21C9F" w:rsidP="00D21C9F">
      <w:pPr>
        <w:pStyle w:val="1BidStyleLevel1"/>
      </w:pPr>
      <w:r>
        <w:t>Ride</w:t>
      </w:r>
      <w:r w:rsidR="00A437AE">
        <w:t xml:space="preserve"> specification – percent improvement [401]</w:t>
      </w:r>
    </w:p>
    <w:p w14:paraId="1E72585D" w14:textId="7FAFCB8B" w:rsidR="00A437AE" w:rsidRDefault="00A437AE" w:rsidP="00A437AE">
      <w:pPr>
        <w:pStyle w:val="2BidStyleA"/>
      </w:pPr>
      <w:r>
        <w:t>Description. This provision rescinds Table 105-3 for Category III projects</w:t>
      </w:r>
      <w:r w:rsidR="00823B0D">
        <w:t xml:space="preserve"> with an average </w:t>
      </w:r>
      <w:r w:rsidR="00347218">
        <w:t xml:space="preserve">pre-paving </w:t>
      </w:r>
      <w:r w:rsidR="00823B0D">
        <w:t xml:space="preserve">IRI value of 140 in./mile and </w:t>
      </w:r>
      <w:r w:rsidR="00804AD4">
        <w:t>greater</w:t>
      </w:r>
      <w:r w:rsidR="004B363B">
        <w:t xml:space="preserve"> and have 2 or less </w:t>
      </w:r>
      <w:r w:rsidR="00347218">
        <w:t xml:space="preserve">opportunities </w:t>
      </w:r>
      <w:r w:rsidR="004B363B">
        <w:t xml:space="preserve">to improve the ride </w:t>
      </w:r>
      <w:r>
        <w:t xml:space="preserve">and replaces </w:t>
      </w:r>
      <w:r w:rsidR="004B363B">
        <w:t xml:space="preserve">IRI measurements </w:t>
      </w:r>
      <w:r>
        <w:t xml:space="preserve">with percent improvements based on </w:t>
      </w:r>
      <w:r w:rsidR="00347218">
        <w:t>the comparison of pre-paving IRI to post-paving IRI</w:t>
      </w:r>
      <w:r>
        <w:t>.</w:t>
      </w:r>
    </w:p>
    <w:p w14:paraId="41A33273" w14:textId="1620993F" w:rsidR="00A437AE" w:rsidRDefault="00823B0D" w:rsidP="00A437AE">
      <w:pPr>
        <w:pStyle w:val="Level2"/>
      </w:pPr>
      <w:r>
        <w:t xml:space="preserve">General. </w:t>
      </w:r>
      <w:r w:rsidR="001F2EF0">
        <w:t>Pay factors</w:t>
      </w:r>
      <w:r>
        <w:t xml:space="preserve"> will be </w:t>
      </w:r>
      <w:r w:rsidR="001F2EF0">
        <w:t xml:space="preserve">calculated </w:t>
      </w:r>
      <w:r>
        <w:t xml:space="preserve">on the percent improvement </w:t>
      </w:r>
      <w:r w:rsidR="001F2EF0">
        <w:t>from</w:t>
      </w:r>
      <w:r>
        <w:t xml:space="preserve"> the IRI data </w:t>
      </w:r>
      <w:r w:rsidR="004B363B">
        <w:t>measured</w:t>
      </w:r>
      <w:r>
        <w:t xml:space="preserve"> prior to plant mix paving. Pre-paving IRI must be completed a </w:t>
      </w:r>
      <w:r w:rsidR="00347218">
        <w:t xml:space="preserve">maximum </w:t>
      </w:r>
      <w:r>
        <w:t>of 10 business days prior to the start of paving operations, and prior to any work which requires improvements to facilities within the travel lanes.</w:t>
      </w:r>
      <w:r w:rsidR="004B363B">
        <w:t xml:space="preserve"> The Contractor is responsible for coordinating the pre-pave IRI with the Project Manager and District Materials Supervisor.</w:t>
      </w:r>
    </w:p>
    <w:p w14:paraId="702CFE60" w14:textId="6382350B" w:rsidR="00823B0D" w:rsidRDefault="001F2EF0" w:rsidP="000F40AE">
      <w:pPr>
        <w:pStyle w:val="BodyTextFirstIndent"/>
      </w:pPr>
      <w:r>
        <w:t>The surface smoothness will be evaluated in each travel lane for the entire length of the project. The following pay factors will be applied to each travel lane:</w:t>
      </w:r>
    </w:p>
    <w:p w14:paraId="1539C94E" w14:textId="77777777" w:rsidR="001F2EF0" w:rsidRDefault="001F2EF0" w:rsidP="000F40AE">
      <w:pPr>
        <w:pStyle w:val="BodyTextFirstInden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"/>
        <w:gridCol w:w="3010"/>
        <w:gridCol w:w="19"/>
      </w:tblGrid>
      <w:tr w:rsidR="001F2EF0" w:rsidRPr="001F2EF0" w14:paraId="3987CEE4" w14:textId="77777777" w:rsidTr="001F2EF0">
        <w:trPr>
          <w:gridAfter w:val="1"/>
          <w:wAfter w:w="19" w:type="dxa"/>
          <w:jc w:val="center"/>
        </w:trPr>
        <w:tc>
          <w:tcPr>
            <w:tcW w:w="2861" w:type="dxa"/>
            <w:shd w:val="clear" w:color="auto" w:fill="auto"/>
            <w:vAlign w:val="center"/>
          </w:tcPr>
          <w:p w14:paraId="3D1A5D46" w14:textId="23A16CB8" w:rsidR="001F2EF0" w:rsidRPr="001F2EF0" w:rsidRDefault="001F2EF0" w:rsidP="000F40AE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Percent Improvement (%)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37790A2A" w14:textId="25C133F5" w:rsidR="001F2EF0" w:rsidRPr="001F2EF0" w:rsidRDefault="001F2EF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Pay Factor</w:t>
            </w:r>
          </w:p>
        </w:tc>
      </w:tr>
      <w:tr w:rsidR="001F2EF0" w:rsidRPr="001F2EF0" w14:paraId="1E8A9099" w14:textId="77777777" w:rsidTr="000F40A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7F166B31" w14:textId="38F369F9" w:rsidR="001F2EF0" w:rsidRPr="001F2EF0" w:rsidRDefault="001F2EF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 w:rsidRPr="001F2EF0">
              <w:rPr>
                <w:rFonts w:ascii="Arial" w:eastAsia="Calibri" w:hAnsi="Arial" w:cs="Times New Roman"/>
              </w:rPr>
              <w:t>&gt;</w:t>
            </w:r>
            <w:r>
              <w:rPr>
                <w:rFonts w:ascii="Arial" w:eastAsia="Calibri" w:hAnsi="Arial" w:cs="Times New Roman"/>
              </w:rPr>
              <w:t>6</w:t>
            </w:r>
            <w:r w:rsidRPr="001F2EF0">
              <w:rPr>
                <w:rFonts w:ascii="Arial" w:eastAsia="Calibri" w:hAnsi="Arial" w:cs="Times New Roman"/>
              </w:rPr>
              <w:t>0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1A1B25EC" w14:textId="2D5E2435" w:rsidR="001F2EF0" w:rsidRPr="001F2EF0" w:rsidRDefault="001F2EF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 w:rsidRPr="001F2EF0">
              <w:rPr>
                <w:rFonts w:ascii="Arial" w:eastAsia="Calibri" w:hAnsi="Arial" w:cs="Times New Roman"/>
              </w:rPr>
              <w:t>1.</w:t>
            </w:r>
            <w:r>
              <w:rPr>
                <w:rFonts w:ascii="Arial" w:eastAsia="Calibri" w:hAnsi="Arial" w:cs="Times New Roman"/>
              </w:rPr>
              <w:t>10</w:t>
            </w:r>
          </w:p>
        </w:tc>
      </w:tr>
      <w:tr w:rsidR="001F2EF0" w:rsidRPr="001F2EF0" w14:paraId="18C2E1C6" w14:textId="77777777" w:rsidTr="000F40A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EC69D0C" w14:textId="097FB147" w:rsidR="001F2EF0" w:rsidRPr="001F2EF0" w:rsidRDefault="00E766B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Arial"/>
              </w:rPr>
              <w:t>≥</w:t>
            </w:r>
            <w:r w:rsidR="001F2EF0">
              <w:rPr>
                <w:rFonts w:ascii="Arial" w:eastAsia="Calibri" w:hAnsi="Arial" w:cs="Times New Roman"/>
              </w:rPr>
              <w:t>40</w:t>
            </w:r>
            <w:r w:rsidR="001F2EF0" w:rsidRPr="001F2EF0">
              <w:rPr>
                <w:rFonts w:ascii="Arial" w:eastAsia="Calibri" w:hAnsi="Arial" w:cs="Times New Roman"/>
              </w:rPr>
              <w:t xml:space="preserve"> - </w:t>
            </w:r>
            <w:r>
              <w:rPr>
                <w:rFonts w:ascii="Arial" w:eastAsia="Calibri" w:hAnsi="Arial" w:cs="Arial"/>
              </w:rPr>
              <w:t>≤</w:t>
            </w:r>
            <w:r w:rsidR="001F2EF0">
              <w:rPr>
                <w:rFonts w:ascii="Arial" w:eastAsia="Calibri" w:hAnsi="Arial" w:cs="Times New Roman"/>
              </w:rPr>
              <w:t>60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1483A0F7" w14:textId="77777777" w:rsidR="001F2EF0" w:rsidRPr="001F2EF0" w:rsidRDefault="001F2EF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 w:rsidRPr="001F2EF0">
              <w:rPr>
                <w:rFonts w:ascii="Arial" w:eastAsia="Calibri" w:hAnsi="Arial" w:cs="Times New Roman"/>
              </w:rPr>
              <w:t>1</w:t>
            </w:r>
          </w:p>
        </w:tc>
      </w:tr>
      <w:tr w:rsidR="001F2EF0" w:rsidRPr="001F2EF0" w14:paraId="5FCC2D88" w14:textId="77777777" w:rsidTr="000F40A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8F25C18" w14:textId="1827B88C" w:rsidR="001F2EF0" w:rsidRPr="001F2EF0" w:rsidRDefault="001F2EF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 w:rsidRPr="001F2EF0">
              <w:rPr>
                <w:rFonts w:ascii="Arial" w:eastAsia="Calibri" w:hAnsi="Arial" w:cs="Times New Roman"/>
              </w:rPr>
              <w:t>&lt;</w:t>
            </w:r>
            <w:r>
              <w:rPr>
                <w:rFonts w:ascii="Arial" w:eastAsia="Calibri" w:hAnsi="Arial" w:cs="Times New Roman"/>
              </w:rPr>
              <w:t>40</w:t>
            </w:r>
            <w:r w:rsidR="00496212">
              <w:rPr>
                <w:rFonts w:ascii="Arial" w:eastAsia="Calibri" w:hAnsi="Arial" w:cs="Times New Roman"/>
              </w:rPr>
              <w:t xml:space="preserve"> - &gt;0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14641D7E" w14:textId="1DB60003" w:rsidR="001F2EF0" w:rsidRPr="001F2EF0" w:rsidRDefault="004B363B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0.90</w:t>
            </w:r>
          </w:p>
        </w:tc>
      </w:tr>
      <w:tr w:rsidR="00CA2847" w:rsidRPr="001F2EF0" w14:paraId="0E0542D7" w14:textId="77777777" w:rsidTr="000F40A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0EF90A1D" w14:textId="02C09955" w:rsidR="00CA2847" w:rsidRPr="001F2EF0" w:rsidRDefault="00E766B0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Arial"/>
              </w:rPr>
              <w:t>≤</w:t>
            </w:r>
            <w:r w:rsidR="00CA2847">
              <w:rPr>
                <w:rFonts w:ascii="Arial" w:eastAsia="Calibri" w:hAnsi="Arial" w:cs="Times New Roman"/>
              </w:rPr>
              <w:t>0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21D1B990" w14:textId="77777777" w:rsidR="00CA2847" w:rsidRDefault="00CA2847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Corrective Action</w:t>
            </w:r>
          </w:p>
          <w:p w14:paraId="0305BBE0" w14:textId="563764E8" w:rsidR="00CA2847" w:rsidRDefault="00CA2847" w:rsidP="001F2EF0">
            <w:pPr>
              <w:keepNext/>
              <w:keepLines/>
              <w:spacing w:after="60" w:line="264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(Initially assumed zero pay)</w:t>
            </w:r>
          </w:p>
        </w:tc>
      </w:tr>
    </w:tbl>
    <w:p w14:paraId="480830C5" w14:textId="6826863F" w:rsidR="001F2EF0" w:rsidRDefault="001F2EF0" w:rsidP="000F40AE">
      <w:pPr>
        <w:pStyle w:val="BodyTextFirstIndent"/>
      </w:pPr>
    </w:p>
    <w:p w14:paraId="28F9119B" w14:textId="2FC6B880" w:rsidR="005C466E" w:rsidRPr="00A2545D" w:rsidRDefault="000011F0" w:rsidP="00D40CC2">
      <w:pPr>
        <w:pStyle w:val="BodyTextFirstIndent"/>
      </w:pPr>
      <w:r w:rsidRPr="00D40CC2">
        <w:t xml:space="preserve">Percent </w:t>
      </w:r>
      <w:r w:rsidRPr="00911FDE">
        <w:t>improvement will be calculated according to the foll</w:t>
      </w:r>
      <w:r w:rsidRPr="00A2545D">
        <w:t>owing formula:</w:t>
      </w:r>
    </w:p>
    <w:p w14:paraId="2E3B5EAD" w14:textId="240AA998" w:rsidR="005C466E" w:rsidRPr="00A2545D" w:rsidRDefault="00CA0A77" w:rsidP="00911FDE">
      <w:pPr>
        <w:pStyle w:val="BodyTextFirstIndent"/>
      </w:pPr>
      <w:r w:rsidRPr="00A2545D">
        <w:t>% IMP = ((</w:t>
      </w:r>
      <w:r w:rsidR="00911FDE">
        <w:t>p</w:t>
      </w:r>
      <w:r w:rsidR="004C37C8">
        <w:t>re</w:t>
      </w:r>
      <w:r w:rsidR="00911FDE">
        <w:t>-</w:t>
      </w:r>
      <w:r w:rsidRPr="00911FDE">
        <w:t xml:space="preserve">pave IRI – </w:t>
      </w:r>
      <w:r w:rsidR="00911FDE">
        <w:t>p</w:t>
      </w:r>
      <w:r w:rsidR="004C37C8">
        <w:t>ost</w:t>
      </w:r>
      <w:r w:rsidRPr="00911FDE">
        <w:t>-pave IRI)/</w:t>
      </w:r>
      <w:r w:rsidR="00911FDE">
        <w:t>p</w:t>
      </w:r>
      <w:r w:rsidRPr="00911FDE">
        <w:t xml:space="preserve">re-pave IRI) * </w:t>
      </w:r>
      <w:r w:rsidRPr="00A2545D">
        <w:t>100</w:t>
      </w:r>
    </w:p>
    <w:p w14:paraId="37DC7A81" w14:textId="028C8F6F" w:rsidR="000011F0" w:rsidRPr="00A2545D" w:rsidRDefault="000011F0" w:rsidP="00A2545D">
      <w:pPr>
        <w:pStyle w:val="BodyTextFirstIndent"/>
      </w:pPr>
      <w:r w:rsidRPr="00A2545D">
        <w:t>Example: (200 – 90)/200 x 100 = 55 % improvement</w:t>
      </w:r>
    </w:p>
    <w:p w14:paraId="206C4290" w14:textId="77777777" w:rsidR="00CA0A77" w:rsidRDefault="00CA0A77" w:rsidP="000F40AE">
      <w:pPr>
        <w:pStyle w:val="BodyTextFirstIndent"/>
      </w:pPr>
    </w:p>
    <w:p w14:paraId="79C93CF1" w14:textId="2C345F53" w:rsidR="004B363B" w:rsidRDefault="000F40AE" w:rsidP="000F40AE">
      <w:pPr>
        <w:pStyle w:val="BodyTextFirstIndent"/>
      </w:pPr>
      <w:r>
        <w:t>Table 105-4 and Table 105-5 still apply for calculations based on incentive adjustments.</w:t>
      </w:r>
    </w:p>
    <w:p w14:paraId="7039AE58" w14:textId="78209DDC" w:rsidR="000F40AE" w:rsidRPr="00562C41" w:rsidRDefault="000F40AE" w:rsidP="000F40AE">
      <w:pPr>
        <w:pStyle w:val="BodyTextFirstIndent"/>
      </w:pPr>
      <w:r>
        <w:t>Surface smoothness must meet the requirements in accordance with Subsection 401.03.23(B) Surface Smoothnes</w:t>
      </w:r>
      <w:r w:rsidR="00314629">
        <w:t>s</w:t>
      </w:r>
      <w:r>
        <w:t>.</w:t>
      </w:r>
    </w:p>
    <w:sectPr w:rsidR="000F40AE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4585" w14:textId="77777777" w:rsidR="009353A6" w:rsidRDefault="009353A6">
      <w:r>
        <w:separator/>
      </w:r>
    </w:p>
  </w:endnote>
  <w:endnote w:type="continuationSeparator" w:id="0">
    <w:p w14:paraId="4749301F" w14:textId="77777777" w:rsidR="009353A6" w:rsidRDefault="0093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E3C3" w14:textId="77777777" w:rsidR="00E53184" w:rsidRDefault="00E53184">
    <w:pPr>
      <w:pStyle w:val="Footer"/>
    </w:pPr>
  </w:p>
  <w:p w14:paraId="49BC80E9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FAA5903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AB10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5E1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F161" w14:textId="77777777" w:rsidR="009353A6" w:rsidRDefault="009353A6">
      <w:r>
        <w:separator/>
      </w:r>
    </w:p>
  </w:footnote>
  <w:footnote w:type="continuationSeparator" w:id="0">
    <w:p w14:paraId="40501ADC" w14:textId="77777777" w:rsidR="009353A6" w:rsidRDefault="0093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FB84F8B" w14:textId="77777777">
      <w:tc>
        <w:tcPr>
          <w:tcW w:w="6858" w:type="dxa"/>
        </w:tcPr>
        <w:p w14:paraId="6B4E926D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62C4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40545E74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CD08BAB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04D7" w14:textId="2DDEDCBD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D5D1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41"/>
    <w:rsid w:val="000011F0"/>
    <w:rsid w:val="00017446"/>
    <w:rsid w:val="00032F80"/>
    <w:rsid w:val="00051D1E"/>
    <w:rsid w:val="000853C1"/>
    <w:rsid w:val="0009341C"/>
    <w:rsid w:val="000F40AE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1F2EF0"/>
    <w:rsid w:val="00222B0A"/>
    <w:rsid w:val="0023386F"/>
    <w:rsid w:val="0023715F"/>
    <w:rsid w:val="00242C4A"/>
    <w:rsid w:val="00243EEF"/>
    <w:rsid w:val="00255D43"/>
    <w:rsid w:val="00257ED2"/>
    <w:rsid w:val="00264A46"/>
    <w:rsid w:val="0026704A"/>
    <w:rsid w:val="002866C1"/>
    <w:rsid w:val="003013CF"/>
    <w:rsid w:val="00307308"/>
    <w:rsid w:val="003107A6"/>
    <w:rsid w:val="00314629"/>
    <w:rsid w:val="00332FB1"/>
    <w:rsid w:val="00347218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96212"/>
    <w:rsid w:val="004A002E"/>
    <w:rsid w:val="004B363B"/>
    <w:rsid w:val="004C37C8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248B"/>
    <w:rsid w:val="00597ADC"/>
    <w:rsid w:val="005C18A1"/>
    <w:rsid w:val="005C466E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04AD4"/>
    <w:rsid w:val="00823B0D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11FDE"/>
    <w:rsid w:val="009353A6"/>
    <w:rsid w:val="00966094"/>
    <w:rsid w:val="009840F2"/>
    <w:rsid w:val="009E123E"/>
    <w:rsid w:val="009E3460"/>
    <w:rsid w:val="009F3A34"/>
    <w:rsid w:val="00A00992"/>
    <w:rsid w:val="00A21563"/>
    <w:rsid w:val="00A2545D"/>
    <w:rsid w:val="00A32BDE"/>
    <w:rsid w:val="00A35999"/>
    <w:rsid w:val="00A437AE"/>
    <w:rsid w:val="00A5288A"/>
    <w:rsid w:val="00A66E5B"/>
    <w:rsid w:val="00A67D16"/>
    <w:rsid w:val="00A704D4"/>
    <w:rsid w:val="00AA08E3"/>
    <w:rsid w:val="00AB740C"/>
    <w:rsid w:val="00AC1E2A"/>
    <w:rsid w:val="00AE660C"/>
    <w:rsid w:val="00AF5804"/>
    <w:rsid w:val="00BE796C"/>
    <w:rsid w:val="00C45B84"/>
    <w:rsid w:val="00C63CAE"/>
    <w:rsid w:val="00C73EC2"/>
    <w:rsid w:val="00CA063D"/>
    <w:rsid w:val="00CA0A77"/>
    <w:rsid w:val="00CA2847"/>
    <w:rsid w:val="00CA4019"/>
    <w:rsid w:val="00CC0D64"/>
    <w:rsid w:val="00CC4378"/>
    <w:rsid w:val="00CD4D68"/>
    <w:rsid w:val="00CF7273"/>
    <w:rsid w:val="00CF77A2"/>
    <w:rsid w:val="00D21C9F"/>
    <w:rsid w:val="00D3514E"/>
    <w:rsid w:val="00D40CC2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766B0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9F0A"/>
  <w15:docId w15:val="{337BE0C4-EB9E-409B-9F6E-C6078773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496212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962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6212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F40AE"/>
    <w:pPr>
      <w:spacing w:after="0"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F40AE"/>
    <w:rPr>
      <w:rFonts w:asciiTheme="minorHAnsi" w:eastAsiaTheme="minorHAnsi" w:hAnsi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1466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MacMillan, John</cp:lastModifiedBy>
  <cp:revision>7</cp:revision>
  <cp:lastPrinted>1999-11-10T15:48:00Z</cp:lastPrinted>
  <dcterms:created xsi:type="dcterms:W3CDTF">2021-06-29T19:51:00Z</dcterms:created>
  <dcterms:modified xsi:type="dcterms:W3CDTF">2021-06-30T12:23:00Z</dcterms:modified>
</cp:coreProperties>
</file>