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76993" w14:textId="64E12CA0" w:rsidR="0080422C" w:rsidRDefault="003B15C2" w:rsidP="00590A4F">
      <w:pPr>
        <w:pStyle w:val="1BidStyleLevel1"/>
      </w:pPr>
      <w:r>
        <w:t>polymer overlay</w:t>
      </w:r>
      <w:r w:rsidR="0080422C">
        <w:t xml:space="preserve"> (</w:t>
      </w:r>
      <w:r w:rsidR="00515070">
        <w:t>revised</w:t>
      </w:r>
      <w:r w:rsidR="00D61CCF">
        <w:t xml:space="preserve"> 10</w:t>
      </w:r>
      <w:r w:rsidR="0080422C">
        <w:t>-</w:t>
      </w:r>
      <w:r w:rsidR="00D61CCF">
        <w:t>08</w:t>
      </w:r>
      <w:r w:rsidR="0080422C">
        <w:t>-20)</w:t>
      </w:r>
    </w:p>
    <w:p w14:paraId="0B5C1A7B" w14:textId="6F419D77" w:rsidR="003B15C2" w:rsidRDefault="003B15C2" w:rsidP="001E1E15">
      <w:pPr>
        <w:pStyle w:val="2BidStyleA"/>
      </w:pPr>
      <w:r>
        <w:t xml:space="preserve">Description. This work is </w:t>
      </w:r>
      <w:r w:rsidR="001D178C">
        <w:t xml:space="preserve">preparing concrete bridge deck surfaces and applying primer and a two-layer polymer overlay system. </w:t>
      </w:r>
      <w:r w:rsidR="005576E7">
        <w:t>This work also applies to concrete approach slabs if indicated on the plans.</w:t>
      </w:r>
    </w:p>
    <w:p w14:paraId="67708CE4" w14:textId="77777777" w:rsidR="003B15C2" w:rsidRDefault="003B15C2" w:rsidP="001E1E15">
      <w:pPr>
        <w:pStyle w:val="2BidStyleA"/>
      </w:pPr>
      <w:r>
        <w:t xml:space="preserve">Materials. Furnish materials specifically designed for use on concrete bridge decks. </w:t>
      </w:r>
    </w:p>
    <w:p w14:paraId="63D9E71C" w14:textId="058C3D49" w:rsidR="003B15C2" w:rsidRDefault="003B15C2" w:rsidP="00547227">
      <w:pPr>
        <w:pStyle w:val="3BidStyle1"/>
      </w:pPr>
      <w:r>
        <w:t>Polymer Overlay Primer. Furnish a primer compatible with the polymer overlay that is 100% solids, 100% reactive with the following properties:</w:t>
      </w:r>
    </w:p>
    <w:p w14:paraId="398406AC" w14:textId="77777777" w:rsidR="003B15C2" w:rsidRDefault="003B15C2" w:rsidP="003B15C2"/>
    <w:tbl>
      <w:tblPr>
        <w:tblStyle w:val="TableGrid"/>
        <w:tblW w:w="0" w:type="auto"/>
        <w:tblLook w:val="04A0" w:firstRow="1" w:lastRow="0" w:firstColumn="1" w:lastColumn="0" w:noHBand="0" w:noVBand="1"/>
      </w:tblPr>
      <w:tblGrid>
        <w:gridCol w:w="3116"/>
        <w:gridCol w:w="3117"/>
        <w:gridCol w:w="3117"/>
      </w:tblGrid>
      <w:tr w:rsidR="0082498E" w:rsidRPr="0082498E" w14:paraId="3C77B281" w14:textId="77777777" w:rsidTr="0082498E">
        <w:tc>
          <w:tcPr>
            <w:tcW w:w="3116" w:type="dxa"/>
            <w:shd w:val="clear" w:color="auto" w:fill="D9D9D9" w:themeFill="background1" w:themeFillShade="D9"/>
            <w:vAlign w:val="center"/>
          </w:tcPr>
          <w:p w14:paraId="01BC3B5E" w14:textId="77777777" w:rsidR="0082498E" w:rsidRPr="0082498E" w:rsidRDefault="0082498E" w:rsidP="0082498E">
            <w:pPr>
              <w:jc w:val="center"/>
            </w:pPr>
            <w:r w:rsidRPr="0082498E">
              <w:t>Property</w:t>
            </w:r>
          </w:p>
        </w:tc>
        <w:tc>
          <w:tcPr>
            <w:tcW w:w="3117" w:type="dxa"/>
            <w:shd w:val="clear" w:color="auto" w:fill="D9D9D9" w:themeFill="background1" w:themeFillShade="D9"/>
            <w:vAlign w:val="center"/>
          </w:tcPr>
          <w:p w14:paraId="2D3E3D6C" w14:textId="77777777" w:rsidR="0082498E" w:rsidRPr="0082498E" w:rsidRDefault="0082498E" w:rsidP="0082498E">
            <w:pPr>
              <w:jc w:val="center"/>
            </w:pPr>
            <w:r w:rsidRPr="0082498E">
              <w:t>Requirements</w:t>
            </w:r>
          </w:p>
        </w:tc>
        <w:tc>
          <w:tcPr>
            <w:tcW w:w="3117" w:type="dxa"/>
            <w:shd w:val="clear" w:color="auto" w:fill="D9D9D9" w:themeFill="background1" w:themeFillShade="D9"/>
            <w:vAlign w:val="center"/>
          </w:tcPr>
          <w:p w14:paraId="47C71B86" w14:textId="77777777" w:rsidR="0082498E" w:rsidRPr="0082498E" w:rsidRDefault="0082498E" w:rsidP="0082498E">
            <w:pPr>
              <w:jc w:val="center"/>
            </w:pPr>
            <w:r w:rsidRPr="0082498E">
              <w:t>Test Method</w:t>
            </w:r>
          </w:p>
        </w:tc>
      </w:tr>
      <w:tr w:rsidR="0082498E" w:rsidRPr="0082498E" w14:paraId="481AE00A" w14:textId="77777777" w:rsidTr="0082498E">
        <w:tc>
          <w:tcPr>
            <w:tcW w:w="3116" w:type="dxa"/>
            <w:vAlign w:val="center"/>
          </w:tcPr>
          <w:p w14:paraId="5707DC00" w14:textId="77777777" w:rsidR="0082498E" w:rsidRPr="0082498E" w:rsidRDefault="0082498E" w:rsidP="0082498E">
            <w:r w:rsidRPr="0082498E">
              <w:t xml:space="preserve">Viscosity </w:t>
            </w:r>
            <w:r w:rsidRPr="0082498E">
              <w:rPr>
                <w:vertAlign w:val="superscript"/>
              </w:rPr>
              <w:t>A</w:t>
            </w:r>
          </w:p>
        </w:tc>
        <w:tc>
          <w:tcPr>
            <w:tcW w:w="3117" w:type="dxa"/>
            <w:vAlign w:val="center"/>
          </w:tcPr>
          <w:p w14:paraId="638FBD5F" w14:textId="77777777" w:rsidR="0082498E" w:rsidRPr="0082498E" w:rsidRDefault="0082498E" w:rsidP="0082498E">
            <w:r w:rsidRPr="0082498E">
              <w:t>&lt;225 cps</w:t>
            </w:r>
          </w:p>
        </w:tc>
        <w:tc>
          <w:tcPr>
            <w:tcW w:w="3117" w:type="dxa"/>
            <w:vAlign w:val="center"/>
          </w:tcPr>
          <w:p w14:paraId="1C60C965" w14:textId="77777777" w:rsidR="0082498E" w:rsidRPr="0082498E" w:rsidRDefault="0082498E" w:rsidP="0082498E">
            <w:r w:rsidRPr="0082498E">
              <w:t>ASTM D2556, Brookfield RVT, Spindle No. 3, 20 rpm</w:t>
            </w:r>
          </w:p>
        </w:tc>
      </w:tr>
      <w:tr w:rsidR="0082498E" w:rsidRPr="0082498E" w14:paraId="7E2638C9" w14:textId="77777777" w:rsidTr="0082498E">
        <w:tc>
          <w:tcPr>
            <w:tcW w:w="3116" w:type="dxa"/>
            <w:vAlign w:val="center"/>
          </w:tcPr>
          <w:p w14:paraId="4A11A9E3" w14:textId="77777777" w:rsidR="0082498E" w:rsidRPr="0082498E" w:rsidRDefault="0082498E" w:rsidP="0082498E">
            <w:r w:rsidRPr="0082498E">
              <w:t xml:space="preserve">Tensile Elongation </w:t>
            </w:r>
            <w:r w:rsidRPr="0082498E">
              <w:rPr>
                <w:vertAlign w:val="superscript"/>
              </w:rPr>
              <w:t>B</w:t>
            </w:r>
          </w:p>
        </w:tc>
        <w:tc>
          <w:tcPr>
            <w:tcW w:w="3117" w:type="dxa"/>
            <w:vAlign w:val="center"/>
          </w:tcPr>
          <w:p w14:paraId="22AF4388" w14:textId="77777777" w:rsidR="0082498E" w:rsidRPr="0082498E" w:rsidRDefault="0082498E" w:rsidP="0082498E">
            <w:r w:rsidRPr="0082498E">
              <w:t>&gt; 30%</w:t>
            </w:r>
          </w:p>
        </w:tc>
        <w:tc>
          <w:tcPr>
            <w:tcW w:w="3117" w:type="dxa"/>
            <w:vAlign w:val="center"/>
          </w:tcPr>
          <w:p w14:paraId="38BE789F" w14:textId="77777777" w:rsidR="0082498E" w:rsidRPr="0082498E" w:rsidRDefault="0082498E" w:rsidP="0082498E">
            <w:r w:rsidRPr="0082498E">
              <w:t>ASTM D638</w:t>
            </w:r>
          </w:p>
        </w:tc>
      </w:tr>
      <w:tr w:rsidR="0082498E" w:rsidRPr="0082498E" w14:paraId="74AAA537" w14:textId="77777777" w:rsidTr="0082498E">
        <w:tc>
          <w:tcPr>
            <w:tcW w:w="3116" w:type="dxa"/>
            <w:vAlign w:val="center"/>
          </w:tcPr>
          <w:p w14:paraId="1B5D6CBC" w14:textId="77777777" w:rsidR="0082498E" w:rsidRPr="0082498E" w:rsidRDefault="0082498E" w:rsidP="0082498E">
            <w:r w:rsidRPr="0082498E">
              <w:t xml:space="preserve">Tensile Strength </w:t>
            </w:r>
            <w:r w:rsidRPr="0082498E">
              <w:rPr>
                <w:vertAlign w:val="superscript"/>
              </w:rPr>
              <w:t>B</w:t>
            </w:r>
          </w:p>
        </w:tc>
        <w:tc>
          <w:tcPr>
            <w:tcW w:w="3117" w:type="dxa"/>
            <w:vAlign w:val="center"/>
          </w:tcPr>
          <w:p w14:paraId="6A21298F" w14:textId="77777777" w:rsidR="0082498E" w:rsidRPr="0082498E" w:rsidRDefault="0082498E" w:rsidP="0082498E">
            <w:r w:rsidRPr="0082498E">
              <w:t>&gt;2000 psi @ 7 days</w:t>
            </w:r>
          </w:p>
        </w:tc>
        <w:tc>
          <w:tcPr>
            <w:tcW w:w="3117" w:type="dxa"/>
            <w:vAlign w:val="center"/>
          </w:tcPr>
          <w:p w14:paraId="154434CF" w14:textId="77777777" w:rsidR="0082498E" w:rsidRPr="0082498E" w:rsidRDefault="0082498E" w:rsidP="0082498E">
            <w:r w:rsidRPr="0082498E">
              <w:t>ASTM D638</w:t>
            </w:r>
          </w:p>
        </w:tc>
      </w:tr>
    </w:tbl>
    <w:p w14:paraId="4874763A" w14:textId="313006F9" w:rsidR="003B15C2" w:rsidRDefault="003B15C2" w:rsidP="003B15C2">
      <w:r>
        <w:t xml:space="preserve">  </w:t>
      </w:r>
      <w:r w:rsidRPr="0082498E">
        <w:rPr>
          <w:vertAlign w:val="superscript"/>
        </w:rPr>
        <w:t>A</w:t>
      </w:r>
      <w:r>
        <w:t xml:space="preserve"> </w:t>
      </w:r>
      <w:r w:rsidR="0082498E">
        <w:t>-</w:t>
      </w:r>
      <w:r>
        <w:t>Uncured, mixed primer</w:t>
      </w:r>
    </w:p>
    <w:p w14:paraId="36E877D2" w14:textId="1A88559A" w:rsidR="003B15C2" w:rsidRDefault="003B15C2" w:rsidP="003B15C2">
      <w:r>
        <w:t xml:space="preserve">  </w:t>
      </w:r>
      <w:r w:rsidRPr="0082498E">
        <w:rPr>
          <w:vertAlign w:val="superscript"/>
        </w:rPr>
        <w:t>B</w:t>
      </w:r>
      <w:r>
        <w:t xml:space="preserve"> </w:t>
      </w:r>
      <w:r w:rsidR="0082498E">
        <w:t>-</w:t>
      </w:r>
      <w:r>
        <w:t>Cured, mixed primer</w:t>
      </w:r>
    </w:p>
    <w:p w14:paraId="0F498A95" w14:textId="77777777" w:rsidR="003B15C2" w:rsidRDefault="003B15C2" w:rsidP="003B15C2"/>
    <w:p w14:paraId="1356410F" w14:textId="31B0A8EE" w:rsidR="003B15C2" w:rsidRDefault="003B15C2" w:rsidP="00547227">
      <w:pPr>
        <w:pStyle w:val="3BidStyle1"/>
      </w:pPr>
      <w:r>
        <w:t>Polymer Resin for Polymer Overlay. Use a polymer resin base and hardener composed of a two-component, 100% solids, 100% reactive, thermosetting compound with the following properties:</w:t>
      </w:r>
    </w:p>
    <w:p w14:paraId="6F0AA880" w14:textId="77777777" w:rsidR="003B15C2" w:rsidRDefault="003B15C2" w:rsidP="003B15C2"/>
    <w:tbl>
      <w:tblPr>
        <w:tblStyle w:val="TableGrid"/>
        <w:tblW w:w="0" w:type="auto"/>
        <w:tblLook w:val="04A0" w:firstRow="1" w:lastRow="0" w:firstColumn="1" w:lastColumn="0" w:noHBand="0" w:noVBand="1"/>
      </w:tblPr>
      <w:tblGrid>
        <w:gridCol w:w="3116"/>
        <w:gridCol w:w="3117"/>
        <w:gridCol w:w="3117"/>
      </w:tblGrid>
      <w:tr w:rsidR="0082498E" w:rsidRPr="0082498E" w14:paraId="6DBA3951" w14:textId="77777777" w:rsidTr="0082498E">
        <w:tc>
          <w:tcPr>
            <w:tcW w:w="3116" w:type="dxa"/>
            <w:shd w:val="clear" w:color="auto" w:fill="D9D9D9" w:themeFill="background1" w:themeFillShade="D9"/>
            <w:vAlign w:val="center"/>
          </w:tcPr>
          <w:p w14:paraId="469721F7" w14:textId="77777777" w:rsidR="0082498E" w:rsidRPr="0082498E" w:rsidRDefault="0082498E" w:rsidP="0082498E">
            <w:pPr>
              <w:jc w:val="center"/>
            </w:pPr>
            <w:r w:rsidRPr="0082498E">
              <w:t>Property</w:t>
            </w:r>
          </w:p>
        </w:tc>
        <w:tc>
          <w:tcPr>
            <w:tcW w:w="3117" w:type="dxa"/>
            <w:shd w:val="clear" w:color="auto" w:fill="D9D9D9" w:themeFill="background1" w:themeFillShade="D9"/>
            <w:vAlign w:val="center"/>
          </w:tcPr>
          <w:p w14:paraId="2EFEDC12" w14:textId="77777777" w:rsidR="0082498E" w:rsidRPr="0082498E" w:rsidRDefault="0082498E" w:rsidP="0082498E">
            <w:pPr>
              <w:jc w:val="center"/>
            </w:pPr>
            <w:r w:rsidRPr="0082498E">
              <w:t>Requirements</w:t>
            </w:r>
          </w:p>
        </w:tc>
        <w:tc>
          <w:tcPr>
            <w:tcW w:w="3117" w:type="dxa"/>
            <w:shd w:val="clear" w:color="auto" w:fill="D9D9D9" w:themeFill="background1" w:themeFillShade="D9"/>
            <w:vAlign w:val="center"/>
          </w:tcPr>
          <w:p w14:paraId="024D6221" w14:textId="77777777" w:rsidR="0082498E" w:rsidRPr="0082498E" w:rsidRDefault="0082498E" w:rsidP="0082498E">
            <w:pPr>
              <w:jc w:val="center"/>
            </w:pPr>
            <w:r w:rsidRPr="0082498E">
              <w:t>Test Method</w:t>
            </w:r>
          </w:p>
        </w:tc>
      </w:tr>
      <w:tr w:rsidR="0082498E" w:rsidRPr="0082498E" w14:paraId="047D69EC" w14:textId="77777777" w:rsidTr="0082498E">
        <w:tc>
          <w:tcPr>
            <w:tcW w:w="3116" w:type="dxa"/>
            <w:vAlign w:val="center"/>
          </w:tcPr>
          <w:p w14:paraId="1C35D483" w14:textId="5DE27D9D" w:rsidR="0082498E" w:rsidRPr="0082498E" w:rsidRDefault="0082498E" w:rsidP="0082498E">
            <w:r w:rsidRPr="0082498E">
              <w:t>Gel Time</w:t>
            </w:r>
            <w:r>
              <w:t xml:space="preserve"> </w:t>
            </w:r>
            <w:r w:rsidRPr="0082498E">
              <w:rPr>
                <w:vertAlign w:val="superscript"/>
              </w:rPr>
              <w:t>A</w:t>
            </w:r>
          </w:p>
        </w:tc>
        <w:tc>
          <w:tcPr>
            <w:tcW w:w="3117" w:type="dxa"/>
            <w:vAlign w:val="center"/>
          </w:tcPr>
          <w:p w14:paraId="1D18A57E" w14:textId="77777777" w:rsidR="0082498E" w:rsidRDefault="0082498E" w:rsidP="0082498E">
            <w:r w:rsidRPr="0082498E">
              <w:t>10 - 45 minutes @</w:t>
            </w:r>
          </w:p>
          <w:p w14:paraId="5826685A" w14:textId="11741D80" w:rsidR="0082498E" w:rsidRPr="0082498E" w:rsidRDefault="0082498E" w:rsidP="0082498E">
            <w:r w:rsidRPr="0082498E">
              <w:t>73°</w:t>
            </w:r>
            <w:r>
              <w:t>F</w:t>
            </w:r>
            <w:r w:rsidRPr="0082498E">
              <w:t xml:space="preserve"> to 75°F</w:t>
            </w:r>
          </w:p>
        </w:tc>
        <w:tc>
          <w:tcPr>
            <w:tcW w:w="3117" w:type="dxa"/>
            <w:vAlign w:val="center"/>
          </w:tcPr>
          <w:p w14:paraId="547E1877" w14:textId="22EE78E0" w:rsidR="0082498E" w:rsidRPr="0082498E" w:rsidRDefault="0082498E" w:rsidP="0082498E">
            <w:r w:rsidRPr="0082498E">
              <w:t>ASTM C881</w:t>
            </w:r>
          </w:p>
        </w:tc>
      </w:tr>
      <w:tr w:rsidR="0082498E" w:rsidRPr="0082498E" w14:paraId="30EEC2EF" w14:textId="77777777" w:rsidTr="0082498E">
        <w:tc>
          <w:tcPr>
            <w:tcW w:w="3116" w:type="dxa"/>
            <w:vAlign w:val="center"/>
          </w:tcPr>
          <w:p w14:paraId="7C8F871C" w14:textId="77777777" w:rsidR="0082498E" w:rsidRPr="0082498E" w:rsidRDefault="0082498E" w:rsidP="0082498E">
            <w:r w:rsidRPr="0082498E">
              <w:t xml:space="preserve">Viscosity </w:t>
            </w:r>
            <w:r w:rsidRPr="0082498E">
              <w:rPr>
                <w:vertAlign w:val="superscript"/>
              </w:rPr>
              <w:t>A</w:t>
            </w:r>
          </w:p>
        </w:tc>
        <w:tc>
          <w:tcPr>
            <w:tcW w:w="3117" w:type="dxa"/>
            <w:vAlign w:val="center"/>
          </w:tcPr>
          <w:p w14:paraId="293F3EE0" w14:textId="77777777" w:rsidR="0082498E" w:rsidRPr="0082498E" w:rsidRDefault="0082498E" w:rsidP="0082498E">
            <w:r w:rsidRPr="0082498E">
              <w:t>7 - 70 poises</w:t>
            </w:r>
          </w:p>
        </w:tc>
        <w:tc>
          <w:tcPr>
            <w:tcW w:w="3117" w:type="dxa"/>
            <w:vAlign w:val="center"/>
          </w:tcPr>
          <w:p w14:paraId="7A5BDB08" w14:textId="77777777" w:rsidR="0082498E" w:rsidRPr="0082498E" w:rsidRDefault="0082498E" w:rsidP="0082498E">
            <w:r w:rsidRPr="0082498E">
              <w:t>ASTM D2556, Brookfield RVT, Spindle No. 3, 20 rpm</w:t>
            </w:r>
          </w:p>
        </w:tc>
      </w:tr>
      <w:tr w:rsidR="0082498E" w:rsidRPr="0082498E" w14:paraId="645BED05" w14:textId="77777777" w:rsidTr="0082498E">
        <w:tc>
          <w:tcPr>
            <w:tcW w:w="3116" w:type="dxa"/>
            <w:vAlign w:val="center"/>
          </w:tcPr>
          <w:p w14:paraId="52B91C92" w14:textId="77777777" w:rsidR="0082498E" w:rsidRPr="0082498E" w:rsidRDefault="0082498E" w:rsidP="0082498E">
            <w:r w:rsidRPr="0082498E">
              <w:t xml:space="preserve">Absorption </w:t>
            </w:r>
            <w:r w:rsidRPr="0082498E">
              <w:rPr>
                <w:vertAlign w:val="superscript"/>
              </w:rPr>
              <w:t>B</w:t>
            </w:r>
          </w:p>
        </w:tc>
        <w:tc>
          <w:tcPr>
            <w:tcW w:w="3117" w:type="dxa"/>
            <w:vAlign w:val="center"/>
          </w:tcPr>
          <w:p w14:paraId="2289ED66" w14:textId="77777777" w:rsidR="0082498E" w:rsidRPr="0082498E" w:rsidRDefault="0082498E" w:rsidP="0082498E">
            <w:r w:rsidRPr="0082498E">
              <w:t>1% maximum at 24 hr</w:t>
            </w:r>
          </w:p>
        </w:tc>
        <w:tc>
          <w:tcPr>
            <w:tcW w:w="3117" w:type="dxa"/>
            <w:vAlign w:val="center"/>
          </w:tcPr>
          <w:p w14:paraId="20652C29" w14:textId="77777777" w:rsidR="0082498E" w:rsidRPr="0082498E" w:rsidRDefault="0082498E" w:rsidP="0082498E">
            <w:r w:rsidRPr="0082498E">
              <w:t>ASTM D570</w:t>
            </w:r>
          </w:p>
        </w:tc>
      </w:tr>
      <w:tr w:rsidR="0082498E" w:rsidRPr="0082498E" w14:paraId="29D3B1BC" w14:textId="77777777" w:rsidTr="0082498E">
        <w:tc>
          <w:tcPr>
            <w:tcW w:w="3116" w:type="dxa"/>
            <w:vAlign w:val="center"/>
          </w:tcPr>
          <w:p w14:paraId="35A0C7A3" w14:textId="77777777" w:rsidR="0082498E" w:rsidRPr="0082498E" w:rsidRDefault="0082498E" w:rsidP="0082498E">
            <w:r w:rsidRPr="0082498E">
              <w:t xml:space="preserve">Tensile Elongation </w:t>
            </w:r>
            <w:r w:rsidRPr="0082498E">
              <w:rPr>
                <w:vertAlign w:val="superscript"/>
              </w:rPr>
              <w:t>B</w:t>
            </w:r>
          </w:p>
        </w:tc>
        <w:tc>
          <w:tcPr>
            <w:tcW w:w="3117" w:type="dxa"/>
            <w:vAlign w:val="center"/>
          </w:tcPr>
          <w:p w14:paraId="7417847D" w14:textId="77777777" w:rsidR="0082498E" w:rsidRPr="0082498E" w:rsidRDefault="0082498E" w:rsidP="0082498E">
            <w:r w:rsidRPr="0082498E">
              <w:t>30% - 70% @ 7 days</w:t>
            </w:r>
          </w:p>
        </w:tc>
        <w:tc>
          <w:tcPr>
            <w:tcW w:w="3117" w:type="dxa"/>
            <w:vAlign w:val="center"/>
          </w:tcPr>
          <w:p w14:paraId="4542AC2A" w14:textId="77777777" w:rsidR="0082498E" w:rsidRPr="0082498E" w:rsidRDefault="0082498E" w:rsidP="0082498E">
            <w:r w:rsidRPr="0082498E">
              <w:t>ASTM D638</w:t>
            </w:r>
          </w:p>
        </w:tc>
      </w:tr>
      <w:tr w:rsidR="0082498E" w:rsidRPr="0082498E" w14:paraId="3306A707" w14:textId="77777777" w:rsidTr="0082498E">
        <w:tc>
          <w:tcPr>
            <w:tcW w:w="3116" w:type="dxa"/>
            <w:vAlign w:val="center"/>
          </w:tcPr>
          <w:p w14:paraId="3956310B" w14:textId="77777777" w:rsidR="0082498E" w:rsidRPr="0082498E" w:rsidRDefault="0082498E" w:rsidP="0082498E">
            <w:r w:rsidRPr="0082498E">
              <w:t xml:space="preserve">Tensile Strength </w:t>
            </w:r>
            <w:r w:rsidRPr="0082498E">
              <w:rPr>
                <w:vertAlign w:val="superscript"/>
              </w:rPr>
              <w:t>B</w:t>
            </w:r>
          </w:p>
        </w:tc>
        <w:tc>
          <w:tcPr>
            <w:tcW w:w="3117" w:type="dxa"/>
            <w:vAlign w:val="center"/>
          </w:tcPr>
          <w:p w14:paraId="3AA4523B" w14:textId="77777777" w:rsidR="0082498E" w:rsidRPr="0082498E" w:rsidRDefault="0082498E" w:rsidP="0082498E">
            <w:r w:rsidRPr="0082498E">
              <w:t>&gt;2000 psi @ 7 days</w:t>
            </w:r>
          </w:p>
        </w:tc>
        <w:tc>
          <w:tcPr>
            <w:tcW w:w="3117" w:type="dxa"/>
            <w:vAlign w:val="center"/>
          </w:tcPr>
          <w:p w14:paraId="4CF3761A" w14:textId="77777777" w:rsidR="0082498E" w:rsidRPr="0082498E" w:rsidRDefault="0082498E" w:rsidP="0082498E">
            <w:r w:rsidRPr="0082498E">
              <w:t>ASTM D638</w:t>
            </w:r>
          </w:p>
        </w:tc>
      </w:tr>
      <w:tr w:rsidR="0082498E" w:rsidRPr="0082498E" w14:paraId="75507443" w14:textId="77777777" w:rsidTr="0082498E">
        <w:tc>
          <w:tcPr>
            <w:tcW w:w="3116" w:type="dxa"/>
            <w:vAlign w:val="center"/>
          </w:tcPr>
          <w:p w14:paraId="21427A62" w14:textId="77777777" w:rsidR="0082498E" w:rsidRPr="0082498E" w:rsidRDefault="0082498E" w:rsidP="0082498E">
            <w:r w:rsidRPr="0082498E">
              <w:t xml:space="preserve">Chloride Permeability </w:t>
            </w:r>
            <w:r w:rsidRPr="0082498E">
              <w:rPr>
                <w:vertAlign w:val="superscript"/>
              </w:rPr>
              <w:t>B</w:t>
            </w:r>
          </w:p>
        </w:tc>
        <w:tc>
          <w:tcPr>
            <w:tcW w:w="3117" w:type="dxa"/>
            <w:vAlign w:val="center"/>
          </w:tcPr>
          <w:p w14:paraId="0E5DB5FB" w14:textId="77777777" w:rsidR="0082498E" w:rsidRPr="0082498E" w:rsidRDefault="0082498E" w:rsidP="0082498E">
            <w:r w:rsidRPr="0082498E">
              <w:t>&lt;100 coulombs @ 28 days</w:t>
            </w:r>
          </w:p>
        </w:tc>
        <w:tc>
          <w:tcPr>
            <w:tcW w:w="3117" w:type="dxa"/>
            <w:vAlign w:val="center"/>
          </w:tcPr>
          <w:p w14:paraId="3C1B1063" w14:textId="77777777" w:rsidR="0082498E" w:rsidRPr="0082498E" w:rsidRDefault="0082498E" w:rsidP="0082498E">
            <w:r w:rsidRPr="0082498E">
              <w:t>AASHTO T277</w:t>
            </w:r>
          </w:p>
        </w:tc>
      </w:tr>
    </w:tbl>
    <w:p w14:paraId="196D68EC" w14:textId="2E9C83C7" w:rsidR="003B15C2" w:rsidRDefault="003B15C2" w:rsidP="003B15C2">
      <w:r w:rsidRPr="0082498E">
        <w:rPr>
          <w:vertAlign w:val="superscript"/>
        </w:rPr>
        <w:t>A</w:t>
      </w:r>
      <w:r>
        <w:t xml:space="preserve"> </w:t>
      </w:r>
      <w:r w:rsidR="0082498E">
        <w:t>-</w:t>
      </w:r>
      <w:r>
        <w:t>Uncured, mixed polymer binder</w:t>
      </w:r>
    </w:p>
    <w:p w14:paraId="155EF370" w14:textId="45783FAF" w:rsidR="003B15C2" w:rsidRDefault="003B15C2" w:rsidP="003B15C2">
      <w:r w:rsidRPr="0082498E">
        <w:rPr>
          <w:vertAlign w:val="superscript"/>
        </w:rPr>
        <w:t>B</w:t>
      </w:r>
      <w:r>
        <w:t xml:space="preserve"> </w:t>
      </w:r>
      <w:r w:rsidR="0082498E">
        <w:t>-</w:t>
      </w:r>
      <w:r>
        <w:t>Cured, mixed polymer binder</w:t>
      </w:r>
    </w:p>
    <w:p w14:paraId="76ADD106" w14:textId="77777777" w:rsidR="003B15C2" w:rsidRDefault="003B15C2" w:rsidP="003B15C2"/>
    <w:p w14:paraId="0538BC02" w14:textId="62D506BB" w:rsidR="003B15C2" w:rsidRDefault="003B15C2" w:rsidP="00547227">
      <w:pPr>
        <w:pStyle w:val="3BidStyle1"/>
      </w:pPr>
      <w:r>
        <w:t>Aggregates. Furnish natural or synthetic aggregates which have a proven record of performance in applications of this type. Furnish aggregates that are non-polishing, clean, free of surface moisture, fractured or angular in shape; free from silt, clay, asphalt, or other organic materials; and meet the following properties and gradation requirements:</w:t>
      </w:r>
    </w:p>
    <w:p w14:paraId="1DD1B0CE" w14:textId="778A1209" w:rsidR="003B15C2" w:rsidRDefault="003B15C2" w:rsidP="003B15C2"/>
    <w:tbl>
      <w:tblPr>
        <w:tblStyle w:val="TableGrid"/>
        <w:tblW w:w="0" w:type="auto"/>
        <w:tblLook w:val="04A0" w:firstRow="1" w:lastRow="0" w:firstColumn="1" w:lastColumn="0" w:noHBand="0" w:noVBand="1"/>
      </w:tblPr>
      <w:tblGrid>
        <w:gridCol w:w="3116"/>
        <w:gridCol w:w="2999"/>
        <w:gridCol w:w="3235"/>
      </w:tblGrid>
      <w:tr w:rsidR="002F112B" w:rsidRPr="002F112B" w14:paraId="014D08A9" w14:textId="77777777" w:rsidTr="002F112B">
        <w:tc>
          <w:tcPr>
            <w:tcW w:w="3116" w:type="dxa"/>
            <w:shd w:val="clear" w:color="auto" w:fill="D9D9D9" w:themeFill="background1" w:themeFillShade="D9"/>
            <w:vAlign w:val="center"/>
          </w:tcPr>
          <w:p w14:paraId="6974F348" w14:textId="77777777" w:rsidR="002F112B" w:rsidRPr="002F112B" w:rsidRDefault="002F112B" w:rsidP="002F112B">
            <w:pPr>
              <w:jc w:val="center"/>
            </w:pPr>
            <w:r w:rsidRPr="002F112B">
              <w:t>Property</w:t>
            </w:r>
          </w:p>
        </w:tc>
        <w:tc>
          <w:tcPr>
            <w:tcW w:w="2999" w:type="dxa"/>
            <w:shd w:val="clear" w:color="auto" w:fill="D9D9D9" w:themeFill="background1" w:themeFillShade="D9"/>
            <w:vAlign w:val="center"/>
          </w:tcPr>
          <w:p w14:paraId="46A610FC" w14:textId="77777777" w:rsidR="002F112B" w:rsidRPr="002F112B" w:rsidRDefault="002F112B" w:rsidP="002F112B">
            <w:pPr>
              <w:jc w:val="center"/>
            </w:pPr>
            <w:r w:rsidRPr="002F112B">
              <w:t>Requirement</w:t>
            </w:r>
          </w:p>
        </w:tc>
        <w:tc>
          <w:tcPr>
            <w:tcW w:w="3235" w:type="dxa"/>
            <w:shd w:val="clear" w:color="auto" w:fill="D9D9D9" w:themeFill="background1" w:themeFillShade="D9"/>
            <w:vAlign w:val="center"/>
          </w:tcPr>
          <w:p w14:paraId="6BE668BD" w14:textId="77777777" w:rsidR="002F112B" w:rsidRPr="002F112B" w:rsidRDefault="002F112B" w:rsidP="002F112B">
            <w:pPr>
              <w:jc w:val="center"/>
            </w:pPr>
            <w:r w:rsidRPr="002F112B">
              <w:t>Test Method</w:t>
            </w:r>
          </w:p>
        </w:tc>
      </w:tr>
      <w:tr w:rsidR="002F112B" w:rsidRPr="002F112B" w14:paraId="6F42DEA3" w14:textId="77777777" w:rsidTr="002F112B">
        <w:tc>
          <w:tcPr>
            <w:tcW w:w="3116" w:type="dxa"/>
            <w:vAlign w:val="center"/>
          </w:tcPr>
          <w:p w14:paraId="0351E163" w14:textId="77777777" w:rsidR="002F112B" w:rsidRPr="002F112B" w:rsidRDefault="002F112B" w:rsidP="002F112B">
            <w:r w:rsidRPr="002F112B">
              <w:t xml:space="preserve">Moisture Content </w:t>
            </w:r>
            <w:r w:rsidRPr="002F112B">
              <w:rPr>
                <w:vertAlign w:val="superscript"/>
              </w:rPr>
              <w:t>A</w:t>
            </w:r>
          </w:p>
        </w:tc>
        <w:tc>
          <w:tcPr>
            <w:tcW w:w="2999" w:type="dxa"/>
            <w:vAlign w:val="center"/>
          </w:tcPr>
          <w:p w14:paraId="774049F6" w14:textId="77777777" w:rsidR="002F112B" w:rsidRPr="002F112B" w:rsidRDefault="002F112B" w:rsidP="00AE3BFF">
            <w:pPr>
              <w:ind w:left="556"/>
            </w:pPr>
            <w:r w:rsidRPr="002F112B">
              <w:t>≤ 0.20%</w:t>
            </w:r>
          </w:p>
        </w:tc>
        <w:tc>
          <w:tcPr>
            <w:tcW w:w="3235" w:type="dxa"/>
            <w:vAlign w:val="center"/>
          </w:tcPr>
          <w:p w14:paraId="78625424" w14:textId="77777777" w:rsidR="002F112B" w:rsidRPr="002F112B" w:rsidRDefault="002F112B" w:rsidP="002F112B">
            <w:r w:rsidRPr="002F112B">
              <w:t>AASHTO T255</w:t>
            </w:r>
          </w:p>
        </w:tc>
      </w:tr>
      <w:tr w:rsidR="002F112B" w:rsidRPr="002F112B" w14:paraId="332EDE0C" w14:textId="77777777" w:rsidTr="002F112B">
        <w:tc>
          <w:tcPr>
            <w:tcW w:w="3116" w:type="dxa"/>
            <w:vAlign w:val="center"/>
          </w:tcPr>
          <w:p w14:paraId="73641344" w14:textId="77777777" w:rsidR="002F112B" w:rsidRPr="002F112B" w:rsidRDefault="002F112B" w:rsidP="002F112B">
            <w:r w:rsidRPr="002F112B">
              <w:t>Hardness</w:t>
            </w:r>
          </w:p>
        </w:tc>
        <w:tc>
          <w:tcPr>
            <w:tcW w:w="2999" w:type="dxa"/>
            <w:vAlign w:val="center"/>
          </w:tcPr>
          <w:p w14:paraId="614401E0" w14:textId="06EE192A" w:rsidR="002F112B" w:rsidRPr="002F112B" w:rsidRDefault="002F112B" w:rsidP="00AE3BFF">
            <w:pPr>
              <w:ind w:left="556"/>
            </w:pPr>
            <w:r>
              <w:rPr>
                <w:rFonts w:cs="Arial"/>
              </w:rPr>
              <w:t>≥</w:t>
            </w:r>
            <w:r w:rsidRPr="002F112B">
              <w:t>6.5</w:t>
            </w:r>
          </w:p>
        </w:tc>
        <w:tc>
          <w:tcPr>
            <w:tcW w:w="3235" w:type="dxa"/>
            <w:vAlign w:val="center"/>
          </w:tcPr>
          <w:p w14:paraId="0908D70E" w14:textId="77777777" w:rsidR="002F112B" w:rsidRPr="002F112B" w:rsidRDefault="002F112B" w:rsidP="002F112B">
            <w:r w:rsidRPr="002F112B">
              <w:t>Mohs Scale</w:t>
            </w:r>
          </w:p>
        </w:tc>
      </w:tr>
      <w:tr w:rsidR="002F112B" w:rsidRPr="002F112B" w14:paraId="38FF7366" w14:textId="77777777" w:rsidTr="002F112B">
        <w:tc>
          <w:tcPr>
            <w:tcW w:w="3116" w:type="dxa"/>
            <w:vAlign w:val="center"/>
          </w:tcPr>
          <w:p w14:paraId="28094169" w14:textId="77777777" w:rsidR="002F112B" w:rsidRPr="002F112B" w:rsidRDefault="002F112B" w:rsidP="002F112B">
            <w:r w:rsidRPr="002F112B">
              <w:t>Fine Aggregate Angularity</w:t>
            </w:r>
          </w:p>
        </w:tc>
        <w:tc>
          <w:tcPr>
            <w:tcW w:w="2999" w:type="dxa"/>
            <w:vAlign w:val="center"/>
          </w:tcPr>
          <w:p w14:paraId="061F24D3" w14:textId="77777777" w:rsidR="002F112B" w:rsidRPr="002F112B" w:rsidRDefault="002F112B" w:rsidP="00AE3BFF">
            <w:pPr>
              <w:ind w:left="556"/>
            </w:pPr>
            <w:r w:rsidRPr="002F112B">
              <w:t>45% Minimum</w:t>
            </w:r>
          </w:p>
        </w:tc>
        <w:tc>
          <w:tcPr>
            <w:tcW w:w="3235" w:type="dxa"/>
            <w:vAlign w:val="center"/>
          </w:tcPr>
          <w:p w14:paraId="73D477A9" w14:textId="3B119D4A" w:rsidR="002F112B" w:rsidRPr="002F112B" w:rsidRDefault="002F112B" w:rsidP="002F112B">
            <w:r w:rsidRPr="002F112B">
              <w:t>AASHTO</w:t>
            </w:r>
            <w:r w:rsidR="00AE3BFF">
              <w:t xml:space="preserve"> </w:t>
            </w:r>
            <w:r w:rsidRPr="002F112B">
              <w:t>T304 Method A</w:t>
            </w:r>
          </w:p>
        </w:tc>
      </w:tr>
      <w:tr w:rsidR="002F112B" w:rsidRPr="002F112B" w14:paraId="0CE5E5AA" w14:textId="77777777" w:rsidTr="002F112B">
        <w:tc>
          <w:tcPr>
            <w:tcW w:w="3116" w:type="dxa"/>
            <w:vAlign w:val="center"/>
          </w:tcPr>
          <w:p w14:paraId="3AFAE433" w14:textId="77777777" w:rsidR="002F112B" w:rsidRPr="002F112B" w:rsidRDefault="002F112B" w:rsidP="002F112B">
            <w:r w:rsidRPr="002F112B">
              <w:t>Absorption</w:t>
            </w:r>
          </w:p>
        </w:tc>
        <w:tc>
          <w:tcPr>
            <w:tcW w:w="2999" w:type="dxa"/>
            <w:vAlign w:val="center"/>
          </w:tcPr>
          <w:p w14:paraId="461151B1" w14:textId="77777777" w:rsidR="002F112B" w:rsidRPr="002F112B" w:rsidRDefault="002F112B" w:rsidP="00AE3BFF">
            <w:pPr>
              <w:ind w:left="556"/>
            </w:pPr>
            <w:r w:rsidRPr="002F112B">
              <w:t>≤ 1%</w:t>
            </w:r>
          </w:p>
        </w:tc>
        <w:tc>
          <w:tcPr>
            <w:tcW w:w="3235" w:type="dxa"/>
            <w:vAlign w:val="center"/>
          </w:tcPr>
          <w:p w14:paraId="2177D2FD" w14:textId="77777777" w:rsidR="002F112B" w:rsidRPr="002F112B" w:rsidRDefault="002F112B" w:rsidP="002F112B">
            <w:r w:rsidRPr="002F112B">
              <w:t>AASHTO T84</w:t>
            </w:r>
          </w:p>
        </w:tc>
      </w:tr>
      <w:tr w:rsidR="002F112B" w:rsidRPr="002F112B" w14:paraId="758BB208" w14:textId="77777777" w:rsidTr="002F112B">
        <w:tc>
          <w:tcPr>
            <w:tcW w:w="3116" w:type="dxa"/>
            <w:vAlign w:val="center"/>
          </w:tcPr>
          <w:p w14:paraId="6AA8759C" w14:textId="6D244339" w:rsidR="002F112B" w:rsidRPr="002F112B" w:rsidRDefault="002F112B" w:rsidP="002F112B">
            <w:r w:rsidRPr="002F112B">
              <w:t>Aggregate Gradation</w:t>
            </w:r>
            <w:r>
              <w:t xml:space="preserve"> </w:t>
            </w:r>
            <w:r w:rsidRPr="002F112B">
              <w:rPr>
                <w:vertAlign w:val="superscript"/>
              </w:rPr>
              <w:t>B</w:t>
            </w:r>
          </w:p>
        </w:tc>
        <w:tc>
          <w:tcPr>
            <w:tcW w:w="2999" w:type="dxa"/>
            <w:vAlign w:val="center"/>
          </w:tcPr>
          <w:p w14:paraId="71E9C764" w14:textId="77777777" w:rsidR="002F112B" w:rsidRDefault="002F112B" w:rsidP="00AE3BFF">
            <w:pPr>
              <w:ind w:left="556"/>
            </w:pPr>
            <w:r w:rsidRPr="002F112B">
              <w:t>100% passing No. 4</w:t>
            </w:r>
          </w:p>
          <w:p w14:paraId="471435FC" w14:textId="7A6E3B67" w:rsidR="002F112B" w:rsidRDefault="002F112B" w:rsidP="00AE3BFF">
            <w:pPr>
              <w:ind w:left="556"/>
            </w:pPr>
            <w:r w:rsidRPr="002F112B">
              <w:t>15-25% passing No. 8</w:t>
            </w:r>
          </w:p>
          <w:p w14:paraId="377E7E38" w14:textId="5A1A895A" w:rsidR="002F112B" w:rsidRDefault="002F112B" w:rsidP="00AE3BFF">
            <w:pPr>
              <w:ind w:left="556"/>
            </w:pPr>
            <w:r w:rsidRPr="002F112B">
              <w:t>0-5% passing No. 16</w:t>
            </w:r>
          </w:p>
          <w:p w14:paraId="5BB4CD1E" w14:textId="46C966ED" w:rsidR="002F112B" w:rsidRPr="002F112B" w:rsidRDefault="002F112B" w:rsidP="00AE3BFF">
            <w:pPr>
              <w:ind w:left="556"/>
            </w:pPr>
            <w:r w:rsidRPr="002F112B">
              <w:t>0-1% passing No. 30</w:t>
            </w:r>
          </w:p>
        </w:tc>
        <w:tc>
          <w:tcPr>
            <w:tcW w:w="3235" w:type="dxa"/>
            <w:vAlign w:val="center"/>
          </w:tcPr>
          <w:p w14:paraId="422DE3DF" w14:textId="77777777" w:rsidR="002F112B" w:rsidRPr="002F112B" w:rsidRDefault="002F112B" w:rsidP="002F112B">
            <w:r w:rsidRPr="002F112B">
              <w:t>MT 202</w:t>
            </w:r>
          </w:p>
        </w:tc>
      </w:tr>
    </w:tbl>
    <w:p w14:paraId="7BCF87CE" w14:textId="77777777" w:rsidR="003B15C2" w:rsidRDefault="003B15C2" w:rsidP="003B15C2">
      <w:r w:rsidRPr="00AE3BFF">
        <w:rPr>
          <w:vertAlign w:val="superscript"/>
        </w:rPr>
        <w:t>A</w:t>
      </w:r>
      <w:r>
        <w:t xml:space="preserve"> Sampled and tested at the time of placement.</w:t>
      </w:r>
    </w:p>
    <w:p w14:paraId="6399D309" w14:textId="77777777" w:rsidR="003B15C2" w:rsidRDefault="003B15C2" w:rsidP="003B15C2">
      <w:r w:rsidRPr="00AE3BFF">
        <w:rPr>
          <w:vertAlign w:val="superscript"/>
        </w:rPr>
        <w:t>B</w:t>
      </w:r>
      <w:r>
        <w:t xml:space="preserve"> Or recommended gradation per manufacturer of polymer resin and approved by the Project Manager.</w:t>
      </w:r>
    </w:p>
    <w:p w14:paraId="1F41DB03" w14:textId="77777777" w:rsidR="003B15C2" w:rsidRDefault="003B15C2" w:rsidP="003B15C2"/>
    <w:p w14:paraId="3C7BB44B" w14:textId="3FB7F202" w:rsidR="003B15C2" w:rsidRDefault="003B15C2" w:rsidP="003B15C2">
      <w:r>
        <w:lastRenderedPageBreak/>
        <w:t>Required Properties of the Overlay System.</w:t>
      </w:r>
    </w:p>
    <w:tbl>
      <w:tblPr>
        <w:tblW w:w="865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2700"/>
        <w:gridCol w:w="2808"/>
      </w:tblGrid>
      <w:tr w:rsidR="00AE3BFF" w:rsidRPr="00AE3BFF" w14:paraId="31AAA4B7" w14:textId="77777777" w:rsidTr="00D9128D">
        <w:trPr>
          <w:cantSplit/>
          <w:trHeight w:val="432"/>
        </w:trPr>
        <w:tc>
          <w:tcPr>
            <w:tcW w:w="3150" w:type="dxa"/>
            <w:shd w:val="clear" w:color="auto" w:fill="D9D9D9" w:themeFill="background1" w:themeFillShade="D9"/>
            <w:vAlign w:val="center"/>
          </w:tcPr>
          <w:p w14:paraId="17070E9C" w14:textId="77777777" w:rsidR="00AE3BFF" w:rsidRPr="00AE3BFF" w:rsidRDefault="00AE3BFF" w:rsidP="00AE3BFF">
            <w:pPr>
              <w:spacing w:after="160" w:line="259" w:lineRule="auto"/>
              <w:jc w:val="center"/>
              <w:rPr>
                <w:rFonts w:eastAsia="Calibri" w:cs="Arial"/>
                <w:bCs/>
              </w:rPr>
            </w:pPr>
            <w:r w:rsidRPr="00AE3BFF">
              <w:rPr>
                <w:rFonts w:eastAsia="Calibri" w:cs="Arial"/>
                <w:bCs/>
              </w:rPr>
              <w:t>Property</w:t>
            </w:r>
          </w:p>
        </w:tc>
        <w:tc>
          <w:tcPr>
            <w:tcW w:w="2700" w:type="dxa"/>
            <w:shd w:val="clear" w:color="auto" w:fill="D9D9D9" w:themeFill="background1" w:themeFillShade="D9"/>
            <w:vAlign w:val="center"/>
          </w:tcPr>
          <w:p w14:paraId="04C833BE" w14:textId="77777777" w:rsidR="00AE3BFF" w:rsidRPr="00AE3BFF" w:rsidRDefault="00AE3BFF" w:rsidP="00AE3BFF">
            <w:pPr>
              <w:spacing w:after="160" w:line="259" w:lineRule="auto"/>
              <w:jc w:val="center"/>
              <w:rPr>
                <w:rFonts w:eastAsia="Calibri" w:cs="Arial"/>
                <w:bCs/>
              </w:rPr>
            </w:pPr>
            <w:r w:rsidRPr="00AE3BFF">
              <w:rPr>
                <w:rFonts w:eastAsia="Calibri" w:cs="Arial"/>
                <w:bCs/>
              </w:rPr>
              <w:t xml:space="preserve">Requirement </w:t>
            </w:r>
            <w:r w:rsidRPr="00AE3BFF">
              <w:rPr>
                <w:rFonts w:eastAsia="Calibri" w:cs="Arial"/>
                <w:bCs/>
                <w:vertAlign w:val="superscript"/>
              </w:rPr>
              <w:t>A</w:t>
            </w:r>
          </w:p>
        </w:tc>
        <w:tc>
          <w:tcPr>
            <w:tcW w:w="2808" w:type="dxa"/>
            <w:shd w:val="clear" w:color="auto" w:fill="D9D9D9" w:themeFill="background1" w:themeFillShade="D9"/>
            <w:vAlign w:val="center"/>
          </w:tcPr>
          <w:p w14:paraId="0F75B4ED" w14:textId="77777777" w:rsidR="00AE3BFF" w:rsidRPr="00AE3BFF" w:rsidRDefault="00AE3BFF" w:rsidP="00AE3BFF">
            <w:pPr>
              <w:spacing w:after="160" w:line="259" w:lineRule="auto"/>
              <w:jc w:val="center"/>
              <w:rPr>
                <w:rFonts w:eastAsia="Calibri" w:cs="Arial"/>
                <w:bCs/>
              </w:rPr>
            </w:pPr>
            <w:r w:rsidRPr="00AE3BFF">
              <w:rPr>
                <w:rFonts w:eastAsia="Calibri" w:cs="Arial"/>
                <w:bCs/>
              </w:rPr>
              <w:t>Test Method</w:t>
            </w:r>
          </w:p>
        </w:tc>
      </w:tr>
      <w:tr w:rsidR="00AE3BFF" w:rsidRPr="00AE3BFF" w14:paraId="338D6D53" w14:textId="77777777" w:rsidTr="00D9128D">
        <w:trPr>
          <w:cantSplit/>
          <w:trHeight w:val="576"/>
        </w:trPr>
        <w:tc>
          <w:tcPr>
            <w:tcW w:w="3150" w:type="dxa"/>
            <w:vAlign w:val="center"/>
          </w:tcPr>
          <w:p w14:paraId="7A7DD84B" w14:textId="77777777" w:rsidR="00AE3BFF" w:rsidRPr="00AE3BFF" w:rsidRDefault="00AE3BFF" w:rsidP="00AE3BFF">
            <w:pPr>
              <w:jc w:val="center"/>
              <w:rPr>
                <w:rFonts w:eastAsia="Calibri" w:cs="Arial"/>
              </w:rPr>
            </w:pPr>
            <w:r w:rsidRPr="00AE3BFF">
              <w:rPr>
                <w:rFonts w:eastAsia="Calibri" w:cs="Arial"/>
              </w:rPr>
              <w:t>Minimum Compressive</w:t>
            </w:r>
          </w:p>
          <w:p w14:paraId="48DFB0F4" w14:textId="77777777" w:rsidR="00AE3BFF" w:rsidRPr="00AE3BFF" w:rsidRDefault="00AE3BFF" w:rsidP="00AE3BFF">
            <w:pPr>
              <w:jc w:val="center"/>
              <w:rPr>
                <w:rFonts w:eastAsia="Calibri" w:cs="Arial"/>
                <w:b/>
                <w:bCs/>
              </w:rPr>
            </w:pPr>
            <w:r w:rsidRPr="00AE3BFF">
              <w:rPr>
                <w:rFonts w:eastAsia="Calibri" w:cs="Arial"/>
              </w:rPr>
              <w:t>Strength (psi)</w:t>
            </w:r>
          </w:p>
        </w:tc>
        <w:tc>
          <w:tcPr>
            <w:tcW w:w="2700" w:type="dxa"/>
            <w:vAlign w:val="center"/>
          </w:tcPr>
          <w:p w14:paraId="48945649" w14:textId="77777777" w:rsidR="00AE3BFF" w:rsidRPr="00AE3BFF" w:rsidRDefault="00AE3BFF" w:rsidP="00AE3BFF">
            <w:pPr>
              <w:jc w:val="center"/>
              <w:rPr>
                <w:rFonts w:eastAsia="Calibri" w:cs="Arial"/>
              </w:rPr>
            </w:pPr>
            <w:r w:rsidRPr="00AE3BFF">
              <w:rPr>
                <w:rFonts w:eastAsia="Calibri" w:cs="Arial"/>
              </w:rPr>
              <w:t>1,000 psi @ 8 hrs</w:t>
            </w:r>
          </w:p>
          <w:p w14:paraId="7DBEF998" w14:textId="77777777" w:rsidR="00AE3BFF" w:rsidRPr="00AE3BFF" w:rsidRDefault="00AE3BFF" w:rsidP="00AE3BFF">
            <w:pPr>
              <w:jc w:val="center"/>
              <w:rPr>
                <w:rFonts w:eastAsia="Calibri" w:cs="Arial"/>
                <w:b/>
                <w:bCs/>
              </w:rPr>
            </w:pPr>
            <w:r w:rsidRPr="00AE3BFF">
              <w:rPr>
                <w:rFonts w:eastAsia="Calibri" w:cs="Arial"/>
              </w:rPr>
              <w:t>5,000 psi @ 24 hrs</w:t>
            </w:r>
          </w:p>
        </w:tc>
        <w:tc>
          <w:tcPr>
            <w:tcW w:w="2808" w:type="dxa"/>
            <w:vAlign w:val="center"/>
          </w:tcPr>
          <w:p w14:paraId="227A3C93" w14:textId="77777777" w:rsidR="00AE3BFF" w:rsidRPr="00AE3BFF" w:rsidRDefault="00AE3BFF" w:rsidP="00AE3BFF">
            <w:pPr>
              <w:jc w:val="center"/>
              <w:rPr>
                <w:rFonts w:eastAsia="Calibri" w:cs="Arial"/>
              </w:rPr>
            </w:pPr>
            <w:r w:rsidRPr="00AE3BFF">
              <w:rPr>
                <w:rFonts w:eastAsia="Calibri" w:cs="Arial"/>
              </w:rPr>
              <w:t>ASTM C 579 Method B,</w:t>
            </w:r>
          </w:p>
          <w:p w14:paraId="46728CB9" w14:textId="77777777" w:rsidR="00AE3BFF" w:rsidRPr="00AE3BFF" w:rsidRDefault="00AE3BFF" w:rsidP="00AE3BFF">
            <w:pPr>
              <w:jc w:val="center"/>
              <w:rPr>
                <w:rFonts w:eastAsia="Calibri" w:cs="Arial"/>
                <w:b/>
                <w:bCs/>
              </w:rPr>
            </w:pPr>
            <w:r w:rsidRPr="00AE3BFF">
              <w:rPr>
                <w:rFonts w:eastAsia="Calibri" w:cs="Arial"/>
              </w:rPr>
              <w:t xml:space="preserve">Modified </w:t>
            </w:r>
            <w:r w:rsidRPr="00AE3BFF">
              <w:rPr>
                <w:rFonts w:eastAsia="Calibri" w:cs="Arial"/>
                <w:vertAlign w:val="superscript"/>
              </w:rPr>
              <w:t>B</w:t>
            </w:r>
          </w:p>
        </w:tc>
      </w:tr>
      <w:tr w:rsidR="00AE3BFF" w:rsidRPr="00AE3BFF" w14:paraId="0D867203" w14:textId="77777777" w:rsidTr="00D9128D">
        <w:trPr>
          <w:cantSplit/>
          <w:trHeight w:val="576"/>
        </w:trPr>
        <w:tc>
          <w:tcPr>
            <w:tcW w:w="3150" w:type="dxa"/>
            <w:vAlign w:val="center"/>
          </w:tcPr>
          <w:p w14:paraId="53A7D401" w14:textId="77777777" w:rsidR="00AE3BFF" w:rsidRPr="00AE3BFF" w:rsidRDefault="00AE3BFF" w:rsidP="00AE3BFF">
            <w:pPr>
              <w:jc w:val="center"/>
              <w:rPr>
                <w:rFonts w:eastAsia="Calibri" w:cs="Arial"/>
                <w:b/>
                <w:bCs/>
              </w:rPr>
            </w:pPr>
            <w:r w:rsidRPr="00AE3BFF">
              <w:rPr>
                <w:rFonts w:eastAsia="Calibri" w:cs="Arial"/>
              </w:rPr>
              <w:t>Thermal Compatibility</w:t>
            </w:r>
          </w:p>
        </w:tc>
        <w:tc>
          <w:tcPr>
            <w:tcW w:w="2700" w:type="dxa"/>
            <w:vAlign w:val="center"/>
          </w:tcPr>
          <w:p w14:paraId="687D15CF" w14:textId="77777777" w:rsidR="00AE3BFF" w:rsidRPr="00AE3BFF" w:rsidRDefault="00AE3BFF" w:rsidP="00AE3BFF">
            <w:pPr>
              <w:jc w:val="center"/>
              <w:rPr>
                <w:rFonts w:eastAsia="Calibri" w:cs="Arial"/>
                <w:b/>
                <w:bCs/>
              </w:rPr>
            </w:pPr>
            <w:r w:rsidRPr="00AE3BFF">
              <w:rPr>
                <w:rFonts w:eastAsia="Calibri" w:cs="Arial"/>
              </w:rPr>
              <w:t>No Delaminations</w:t>
            </w:r>
          </w:p>
        </w:tc>
        <w:tc>
          <w:tcPr>
            <w:tcW w:w="2808" w:type="dxa"/>
            <w:vAlign w:val="center"/>
          </w:tcPr>
          <w:p w14:paraId="21BA922C" w14:textId="77777777" w:rsidR="00AE3BFF" w:rsidRPr="00AE3BFF" w:rsidRDefault="00AE3BFF" w:rsidP="00AE3BFF">
            <w:pPr>
              <w:jc w:val="center"/>
              <w:rPr>
                <w:rFonts w:eastAsia="Calibri" w:cs="Arial"/>
                <w:b/>
                <w:bCs/>
              </w:rPr>
            </w:pPr>
            <w:r w:rsidRPr="00AE3BFF">
              <w:rPr>
                <w:rFonts w:eastAsia="Calibri" w:cs="Arial"/>
              </w:rPr>
              <w:t>ASTM C 884</w:t>
            </w:r>
          </w:p>
        </w:tc>
      </w:tr>
      <w:tr w:rsidR="00AE3BFF" w:rsidRPr="00AE3BFF" w14:paraId="0E88D55E" w14:textId="77777777" w:rsidTr="00D9128D">
        <w:trPr>
          <w:cantSplit/>
          <w:trHeight w:val="576"/>
        </w:trPr>
        <w:tc>
          <w:tcPr>
            <w:tcW w:w="3150" w:type="dxa"/>
            <w:vAlign w:val="center"/>
          </w:tcPr>
          <w:p w14:paraId="79D09043" w14:textId="77777777" w:rsidR="00AE3BFF" w:rsidRPr="00AE3BFF" w:rsidRDefault="00AE3BFF" w:rsidP="00AE3BFF">
            <w:pPr>
              <w:jc w:val="center"/>
              <w:rPr>
                <w:rFonts w:eastAsia="Calibri" w:cs="Arial"/>
                <w:b/>
                <w:bCs/>
              </w:rPr>
            </w:pPr>
            <w:r w:rsidRPr="00AE3BFF">
              <w:rPr>
                <w:rFonts w:eastAsia="Calibri" w:cs="Arial"/>
              </w:rPr>
              <w:t>Minimum Pull-off Strength</w:t>
            </w:r>
          </w:p>
        </w:tc>
        <w:tc>
          <w:tcPr>
            <w:tcW w:w="2700" w:type="dxa"/>
            <w:vAlign w:val="center"/>
          </w:tcPr>
          <w:p w14:paraId="513B5CDD" w14:textId="77777777" w:rsidR="00AE3BFF" w:rsidRPr="00AE3BFF" w:rsidRDefault="00AE3BFF" w:rsidP="00AE3BFF">
            <w:pPr>
              <w:jc w:val="center"/>
              <w:rPr>
                <w:rFonts w:eastAsia="Calibri" w:cs="Arial"/>
                <w:b/>
                <w:bCs/>
              </w:rPr>
            </w:pPr>
            <w:r w:rsidRPr="00AE3BFF">
              <w:rPr>
                <w:rFonts w:eastAsia="Calibri" w:cs="Arial"/>
              </w:rPr>
              <w:t>250 psi @ 24 hrs</w:t>
            </w:r>
          </w:p>
        </w:tc>
        <w:tc>
          <w:tcPr>
            <w:tcW w:w="2808" w:type="dxa"/>
            <w:vAlign w:val="center"/>
          </w:tcPr>
          <w:p w14:paraId="6D66744E" w14:textId="77777777" w:rsidR="00AE3BFF" w:rsidRPr="00AE3BFF" w:rsidRDefault="00AE3BFF" w:rsidP="00AE3BFF">
            <w:pPr>
              <w:jc w:val="center"/>
              <w:rPr>
                <w:rFonts w:eastAsia="Calibri" w:cs="Arial"/>
                <w:b/>
                <w:bCs/>
              </w:rPr>
            </w:pPr>
            <w:r w:rsidRPr="00AE3BFF">
              <w:rPr>
                <w:rFonts w:eastAsia="Calibri" w:cs="Arial"/>
              </w:rPr>
              <w:t>ACI 503R, Appendix A</w:t>
            </w:r>
          </w:p>
        </w:tc>
      </w:tr>
    </w:tbl>
    <w:p w14:paraId="69480A0D" w14:textId="77777777" w:rsidR="003B15C2" w:rsidRDefault="003B15C2" w:rsidP="006128A1">
      <w:pPr>
        <w:pStyle w:val="BodyTextFirstIndent"/>
      </w:pPr>
      <w:r w:rsidRPr="00D93DC0">
        <w:rPr>
          <w:vertAlign w:val="superscript"/>
        </w:rPr>
        <w:t>A</w:t>
      </w:r>
      <w:r>
        <w:t xml:space="preserve"> </w:t>
      </w:r>
      <w:proofErr w:type="gramStart"/>
      <w:r>
        <w:t>Based on</w:t>
      </w:r>
      <w:proofErr w:type="gramEnd"/>
      <w:r>
        <w:t xml:space="preserve"> samples cured or aged and tested at 75°F</w:t>
      </w:r>
    </w:p>
    <w:p w14:paraId="0BB68067" w14:textId="77777777" w:rsidR="003B15C2" w:rsidRDefault="003B15C2" w:rsidP="006128A1">
      <w:pPr>
        <w:pStyle w:val="BodyTextFirstIndent"/>
      </w:pPr>
      <w:r w:rsidRPr="00D93DC0">
        <w:rPr>
          <w:vertAlign w:val="superscript"/>
        </w:rPr>
        <w:t>B</w:t>
      </w:r>
      <w:r>
        <w:t xml:space="preserve"> Plastic inserts that will provide 2-inch by 2-inch cubes shall be placed in the oversized brass molds.</w:t>
      </w:r>
    </w:p>
    <w:p w14:paraId="0E0A9637" w14:textId="77777777" w:rsidR="003B15C2" w:rsidRDefault="003B15C2" w:rsidP="001E1E15">
      <w:pPr>
        <w:pStyle w:val="2BidStyleA"/>
      </w:pPr>
      <w:r>
        <w:t>Construction Requirements.</w:t>
      </w:r>
    </w:p>
    <w:p w14:paraId="47317141" w14:textId="0A80BF3E" w:rsidR="003B15C2" w:rsidRDefault="003B15C2" w:rsidP="00547227">
      <w:pPr>
        <w:pStyle w:val="3BidStyle1"/>
      </w:pPr>
      <w:r>
        <w:t xml:space="preserve">Manufacturer’s Representative. Provide a manufacturer’s representative on site for the duration of the work, to provide expert assistance on compatibility of materials, storage, mixing, surface preparation, application, </w:t>
      </w:r>
      <w:r w:rsidR="0011735B">
        <w:t>clean-up,</w:t>
      </w:r>
      <w:r>
        <w:t xml:space="preserve"> and disposal of materials.</w:t>
      </w:r>
    </w:p>
    <w:p w14:paraId="4ED2AA12" w14:textId="363E52E7" w:rsidR="003B15C2" w:rsidRDefault="003B15C2" w:rsidP="00547227">
      <w:pPr>
        <w:pStyle w:val="3BidStyle1"/>
      </w:pPr>
      <w:r>
        <w:t>Material Delivery and Storage.</w:t>
      </w:r>
      <w:r w:rsidR="0011735B">
        <w:t xml:space="preserve"> S</w:t>
      </w:r>
      <w:r>
        <w:t>tore resin materials in their original containers</w:t>
      </w:r>
      <w:r w:rsidR="007012B9">
        <w:t xml:space="preserve"> and</w:t>
      </w:r>
      <w:r>
        <w:t xml:space="preserve"> in a dry area. Store and handle materials </w:t>
      </w:r>
      <w:r w:rsidR="007012B9">
        <w:t>in accordance with</w:t>
      </w:r>
      <w:r>
        <w:t xml:space="preserve"> the manufacturer’s recommendations. Store all aggregates in a dry environment and protect aggregates from contaminants on the job site.</w:t>
      </w:r>
    </w:p>
    <w:p w14:paraId="636B4349" w14:textId="77777777" w:rsidR="00547227" w:rsidRDefault="00547227" w:rsidP="0011735B">
      <w:pPr>
        <w:pStyle w:val="3BidStyle1"/>
      </w:pPr>
      <w:r>
        <w:t>Submittals. Submit the following to the Project Manager a minimum of 14 calendar days prior to beginning the polymer overlay:</w:t>
      </w:r>
    </w:p>
    <w:p w14:paraId="25012D80" w14:textId="77777777" w:rsidR="00547227" w:rsidRDefault="00547227" w:rsidP="00547227">
      <w:pPr>
        <w:pStyle w:val="4BidStylea"/>
      </w:pPr>
      <w:r>
        <w:t>Product data sheets, specifications, and</w:t>
      </w:r>
      <w:r w:rsidRPr="00511BB0">
        <w:t xml:space="preserve"> </w:t>
      </w:r>
      <w:r>
        <w:t xml:space="preserve">a certified test report from the manufacturer. The Project Manager may request samples of the primer, polymer, and aggregate prior to application, for the purpose of acceptance testing by the Department. </w:t>
      </w:r>
    </w:p>
    <w:p w14:paraId="393B4325" w14:textId="77777777" w:rsidR="00547227" w:rsidRDefault="00547227" w:rsidP="00547227">
      <w:pPr>
        <w:pStyle w:val="BodyTextFirstIndent"/>
      </w:pPr>
      <w:r>
        <w:t>Product data sheets and specifications from the manufacturer consists of literature from the manufacturer showing general instructions, application recommendations/methods, product properties, general instructions, or any other applicable information.</w:t>
      </w:r>
    </w:p>
    <w:p w14:paraId="6FC4E4FE" w14:textId="6D745825" w:rsidR="00547227" w:rsidRDefault="00547227" w:rsidP="00547227">
      <w:pPr>
        <w:pStyle w:val="4BidStylea"/>
      </w:pPr>
      <w:r>
        <w:t>Product history/reference projects and a certified test report from an independent testing laboratory showing compliance with the requirements of the specification. The product history/reference projects consist of a minimum of 5 bridges / locations where the proposed overlay system has been applied in Montana or other locations with a similar climate. Include contact names for the facility owner, current phone number or e-mail address, and a brief description of the project.</w:t>
      </w:r>
    </w:p>
    <w:p w14:paraId="02D35E1E" w14:textId="23668718" w:rsidR="003B15C2" w:rsidRDefault="003B15C2" w:rsidP="00547227">
      <w:pPr>
        <w:pStyle w:val="3BidStyle1"/>
      </w:pPr>
      <w:r>
        <w:t xml:space="preserve">Pre-installation Conference. Conduct a pre-installation conference with the manufacturer's representative prior to construction to establish procedures for maintaining optimum working conditions and coordination of work. </w:t>
      </w:r>
      <w:r w:rsidR="007012B9">
        <w:t>Provide</w:t>
      </w:r>
      <w:r>
        <w:t xml:space="preserve"> a copy of the recommended procedures </w:t>
      </w:r>
      <w:r w:rsidR="007012B9">
        <w:t xml:space="preserve">to the Project Manager </w:t>
      </w:r>
      <w:r>
        <w:t xml:space="preserve">and apply the overlay system </w:t>
      </w:r>
      <w:r w:rsidR="007012B9">
        <w:t>in accordance with</w:t>
      </w:r>
      <w:r>
        <w:t xml:space="preserve"> the manufacturer’s instructions. Ensure the manufacturer's representative familiar with the overlay system installation procedures is present during surface preparation and overlay placement to provide quality assurance that the work is being performed properly.</w:t>
      </w:r>
    </w:p>
    <w:p w14:paraId="01CE55C1" w14:textId="0FFF2656" w:rsidR="003B15C2" w:rsidRDefault="003B15C2" w:rsidP="00547227">
      <w:pPr>
        <w:pStyle w:val="3BidStyle1"/>
      </w:pPr>
      <w:r>
        <w:t xml:space="preserve">Sequence of Operations. </w:t>
      </w:r>
      <w:r w:rsidR="007012B9">
        <w:t xml:space="preserve">The following is the </w:t>
      </w:r>
      <w:r>
        <w:t>sequence of operations when a Polymer Overlay is required:</w:t>
      </w:r>
    </w:p>
    <w:p w14:paraId="63BC9113" w14:textId="77777777" w:rsidR="003B15C2" w:rsidRDefault="003B15C2" w:rsidP="00D93DC0">
      <w:pPr>
        <w:pStyle w:val="4BidStylea"/>
      </w:pPr>
      <w:r>
        <w:t>Deck Repair.</w:t>
      </w:r>
    </w:p>
    <w:p w14:paraId="54166D13" w14:textId="77777777" w:rsidR="003B15C2" w:rsidRDefault="003B15C2" w:rsidP="00D93DC0">
      <w:pPr>
        <w:pStyle w:val="4BidStylea"/>
      </w:pPr>
      <w:r>
        <w:t>Surface Preparation</w:t>
      </w:r>
    </w:p>
    <w:p w14:paraId="7B6348AA" w14:textId="77777777" w:rsidR="003B15C2" w:rsidRDefault="003B15C2" w:rsidP="00D93DC0">
      <w:pPr>
        <w:pStyle w:val="4BidStylea"/>
      </w:pPr>
      <w:r>
        <w:t>Polymer Overlay Primer</w:t>
      </w:r>
    </w:p>
    <w:p w14:paraId="2AE7AF00" w14:textId="77777777" w:rsidR="003B15C2" w:rsidRDefault="003B15C2" w:rsidP="00D93DC0">
      <w:pPr>
        <w:pStyle w:val="4BidStylea"/>
      </w:pPr>
      <w:r>
        <w:t>Polymer Overlay</w:t>
      </w:r>
    </w:p>
    <w:p w14:paraId="1531559D" w14:textId="46907081" w:rsidR="003B15C2" w:rsidRDefault="003B15C2" w:rsidP="00547227">
      <w:pPr>
        <w:pStyle w:val="3BidStyle1"/>
      </w:pPr>
      <w:r>
        <w:t>Material Compatibility. Ensure products used for the Deck Repair, Polymer Overlay Primer, and Polymer Overlay are all compatible with each other.</w:t>
      </w:r>
    </w:p>
    <w:p w14:paraId="20AE2DDF" w14:textId="50B21465" w:rsidR="003B15C2" w:rsidRDefault="003B15C2" w:rsidP="00547227">
      <w:pPr>
        <w:pStyle w:val="3BidStyle1"/>
      </w:pPr>
      <w:r>
        <w:t xml:space="preserve">Deck Repair. Perform Class A and B deck repair work as specified elsewhere in the contract. </w:t>
      </w:r>
      <w:r w:rsidR="007012B9">
        <w:t>Furnish</w:t>
      </w:r>
      <w:r>
        <w:t xml:space="preserve"> cementitious-based material for deck repair which is compatible with the </w:t>
      </w:r>
      <w:r>
        <w:lastRenderedPageBreak/>
        <w:t>polymer overlay primer and polymer overlay system. Follow all manufacturer recommendations, including substrate cure times.</w:t>
      </w:r>
    </w:p>
    <w:p w14:paraId="312987D0" w14:textId="77777777" w:rsidR="007012B9" w:rsidRDefault="003B15C2" w:rsidP="00547227">
      <w:pPr>
        <w:pStyle w:val="3BidStyle1"/>
      </w:pPr>
      <w:r>
        <w:t xml:space="preserve">Surface Preparation. Determine an acceptable shotblasting machine operation (size of shot, flow of shot, forward speed, and/or number of passes) that provides a surface profile meeting CSP 5 according to the International Concrete Repair Institute Technical Guideline No. 03732. If the Project Manager requires additional verification of the surface preparation, test the tensile bond strength according to ACI 503R, Appendix A of the ACI Manual of Concrete Practice. </w:t>
      </w:r>
    </w:p>
    <w:p w14:paraId="55228293" w14:textId="4342C183" w:rsidR="003B15C2" w:rsidRDefault="003B15C2" w:rsidP="006128A1">
      <w:pPr>
        <w:pStyle w:val="BodyTextFirstIndent"/>
      </w:pPr>
      <w:r>
        <w:t>The surface preparation will be considered acceptable if the tensile bond strength is greater than or equal to 250 psi or the failure area at a depth of ¼ inch</w:t>
      </w:r>
      <w:r w:rsidR="00547227">
        <w:t xml:space="preserve"> </w:t>
      </w:r>
      <w:r w:rsidR="007012B9">
        <w:t>(6 mm)</w:t>
      </w:r>
      <w:r>
        <w:t xml:space="preserve"> or more is greater than 50% of the test area. Continue adjustment of the shotblasting machine and necessary testing until the surface is acceptable to the Project Manager or a passing test result is obtained.</w:t>
      </w:r>
    </w:p>
    <w:p w14:paraId="27F834F2" w14:textId="77777777" w:rsidR="003B15C2" w:rsidRDefault="003B15C2" w:rsidP="006128A1">
      <w:pPr>
        <w:pStyle w:val="BodyTextFirstIndent"/>
      </w:pPr>
      <w:r>
        <w:t>Prepare the entire deck using the final accepted adjustments to the shotblasting machine as determined above. Thoroughly blast-clean with hand-held equipment any areas inaccessible by the shotblasting equipment. Do not perform surface preparation more than 24 hours prior to the application of the overlay system.</w:t>
      </w:r>
    </w:p>
    <w:p w14:paraId="7813DED5" w14:textId="27991F9A" w:rsidR="003B15C2" w:rsidRDefault="003B15C2" w:rsidP="006128A1">
      <w:pPr>
        <w:pStyle w:val="BodyTextFirstIndent"/>
      </w:pPr>
      <w:r>
        <w:t>Prepare the vertical concrete surfaces adjacent to the deck a minimum of 2</w:t>
      </w:r>
      <w:r w:rsidR="007012B9">
        <w:t xml:space="preserve"> inches </w:t>
      </w:r>
      <w:r w:rsidR="007012B9">
        <w:br/>
        <w:t>(50 mm)</w:t>
      </w:r>
      <w:r>
        <w:t xml:space="preserve"> above the overlay according to SSPC-SP 13 by sand blasting, using wire wheels, or other approved method.</w:t>
      </w:r>
    </w:p>
    <w:p w14:paraId="2D58970D" w14:textId="5D355B19" w:rsidR="003B15C2" w:rsidRDefault="002A7833" w:rsidP="006128A1">
      <w:pPr>
        <w:pStyle w:val="BodyTextFirstIndent"/>
      </w:pPr>
      <w:r>
        <w:t>Immediately p</w:t>
      </w:r>
      <w:r w:rsidR="003B15C2">
        <w:t>rior to polymer overlay primer placement, clean all dust, debris, and concrete fines from the prepared surfaces including the vertical surfaces with compressed air. When using compressed air, the air stream must be free of oil. Completely remove any grease, oil, or other foreign matter that rests on or has absorbed into the concrete. If any prepared surfaces (including the polymer overlay primer or the first layer of the polymer overlay) are exposed to rain or dew, lightly sandblast (breeze blast) the exposed surfaces.</w:t>
      </w:r>
    </w:p>
    <w:p w14:paraId="3AA7A95C" w14:textId="1F83AFA2" w:rsidR="003B15C2" w:rsidRDefault="003B15C2" w:rsidP="006128A1">
      <w:pPr>
        <w:pStyle w:val="BodyTextFirstIndent"/>
      </w:pPr>
      <w:r>
        <w:t xml:space="preserve">Protect drains, expansion joints, access hatches, or other appurtenances on the deck from damage by the shot and sand blasting operations and from materials adhering and entering. Tape or form all construction joints to provide a clean straight edge. </w:t>
      </w:r>
    </w:p>
    <w:p w14:paraId="4D190DE1" w14:textId="19F59DAA" w:rsidR="003B15C2" w:rsidRDefault="003B15C2" w:rsidP="006128A1">
      <w:pPr>
        <w:pStyle w:val="BodyTextFirstIndent"/>
      </w:pPr>
      <w:r>
        <w:t>The Project Manager may consider alternate surface preparation methods per the overlay system manufacturer’s recommendations. Do not place the polymer overlay primer or polymer overlay prior to Project Manager approval of the final surface profile and deck cleanliness.</w:t>
      </w:r>
    </w:p>
    <w:p w14:paraId="55365A50" w14:textId="4280E572" w:rsidR="003B15C2" w:rsidRDefault="003B15C2" w:rsidP="00547227">
      <w:pPr>
        <w:pStyle w:val="3BidStyle1"/>
      </w:pPr>
      <w:r>
        <w:t xml:space="preserve">Polymer Overlay Primer. Place polymer overlay primer in accordance with </w:t>
      </w:r>
      <w:r w:rsidR="007012B9">
        <w:t>Subs</w:t>
      </w:r>
      <w:r>
        <w:t>ection 552.03.19 of the Standard Specifications, except that the sand requirement is rescinded.</w:t>
      </w:r>
    </w:p>
    <w:p w14:paraId="21338648" w14:textId="77777777" w:rsidR="003B15C2" w:rsidRDefault="003B15C2" w:rsidP="00547227">
      <w:pPr>
        <w:pStyle w:val="3BidStyle1"/>
      </w:pPr>
      <w:r>
        <w:t>Overlay Application. Perform the handling and mixing of the polymer resin and hardening agent in a safe manner to achieve the desired results according to the manufacturer’s instructions. Do not apply the overlay system if any of the following conditions exist:</w:t>
      </w:r>
    </w:p>
    <w:p w14:paraId="50B33C1E" w14:textId="7F14B8D8" w:rsidR="003B15C2" w:rsidRDefault="003B15C2" w:rsidP="007012B9">
      <w:pPr>
        <w:pStyle w:val="4BidStylea"/>
      </w:pPr>
      <w:r>
        <w:t>Ambient air temperature is below 50</w:t>
      </w:r>
      <w:r w:rsidR="007012B9">
        <w:rPr>
          <w:rFonts w:cs="Arial"/>
        </w:rPr>
        <w:t>°</w:t>
      </w:r>
      <w:r w:rsidR="007012B9">
        <w:t>F (10</w:t>
      </w:r>
      <w:r w:rsidR="00820523">
        <w:rPr>
          <w:rFonts w:cs="Arial"/>
        </w:rPr>
        <w:t>°</w:t>
      </w:r>
      <w:r w:rsidR="007012B9">
        <w:t>C</w:t>
      </w:r>
      <w:r w:rsidR="002A7833">
        <w:t>)</w:t>
      </w:r>
      <w:r w:rsidR="007012B9">
        <w:t>.</w:t>
      </w:r>
    </w:p>
    <w:p w14:paraId="07161B13" w14:textId="052B21F3" w:rsidR="003B15C2" w:rsidRDefault="003B15C2" w:rsidP="007012B9">
      <w:pPr>
        <w:pStyle w:val="4BidStylea"/>
      </w:pPr>
      <w:r>
        <w:t>Deck temperature is below 50</w:t>
      </w:r>
      <w:r w:rsidR="007012B9">
        <w:rPr>
          <w:rFonts w:cs="Arial"/>
        </w:rPr>
        <w:t>°</w:t>
      </w:r>
      <w:r w:rsidR="007012B9">
        <w:t>F (</w:t>
      </w:r>
      <w:r w:rsidR="00820523">
        <w:t>10</w:t>
      </w:r>
      <w:r w:rsidR="00820523">
        <w:rPr>
          <w:rFonts w:cs="Arial"/>
        </w:rPr>
        <w:t>°</w:t>
      </w:r>
      <w:r w:rsidR="00820523">
        <w:t>C)</w:t>
      </w:r>
      <w:r w:rsidR="007012B9">
        <w:t>.</w:t>
      </w:r>
    </w:p>
    <w:p w14:paraId="76196903" w14:textId="3C4A793E" w:rsidR="003B15C2" w:rsidRDefault="003B15C2" w:rsidP="007012B9">
      <w:pPr>
        <w:pStyle w:val="4BidStylea"/>
      </w:pPr>
      <w:r>
        <w:t xml:space="preserve">Moisture content in the deck exceeds 4.5% when measured by an electronic moisture meter or shows visible moisture after 2 hours when measured in accordance with ASTM </w:t>
      </w:r>
      <w:r w:rsidR="007012B9">
        <w:t>D4263.</w:t>
      </w:r>
      <w:r>
        <w:t xml:space="preserve"> </w:t>
      </w:r>
    </w:p>
    <w:p w14:paraId="47DE925F" w14:textId="172890CF" w:rsidR="003B15C2" w:rsidRDefault="003B15C2" w:rsidP="007012B9">
      <w:pPr>
        <w:pStyle w:val="4BidStylea"/>
      </w:pPr>
      <w:r>
        <w:t xml:space="preserve">Rain is forecast during the minimum curing periods listed under </w:t>
      </w:r>
      <w:r w:rsidR="007012B9">
        <w:t>C.5.</w:t>
      </w:r>
    </w:p>
    <w:p w14:paraId="40A23123" w14:textId="7F16895A" w:rsidR="003B15C2" w:rsidRDefault="003B15C2" w:rsidP="007012B9">
      <w:pPr>
        <w:pStyle w:val="4BidStylea"/>
      </w:pPr>
      <w:r>
        <w:t xml:space="preserve">Material component temperatures are below </w:t>
      </w:r>
      <w:r w:rsidR="00820523">
        <w:t>50</w:t>
      </w:r>
      <w:r w:rsidR="00820523">
        <w:rPr>
          <w:rFonts w:cs="Arial"/>
        </w:rPr>
        <w:t>°</w:t>
      </w:r>
      <w:r w:rsidR="00820523">
        <w:t>F (10</w:t>
      </w:r>
      <w:r w:rsidR="00820523">
        <w:rPr>
          <w:rFonts w:cs="Arial"/>
        </w:rPr>
        <w:t>°</w:t>
      </w:r>
      <w:r w:rsidR="00820523">
        <w:t xml:space="preserve">C) </w:t>
      </w:r>
      <w:r>
        <w:t xml:space="preserve">or above </w:t>
      </w:r>
      <w:r w:rsidR="007012B9">
        <w:t>99</w:t>
      </w:r>
      <w:r w:rsidR="007012B9">
        <w:rPr>
          <w:rFonts w:cs="Arial"/>
        </w:rPr>
        <w:t>°</w:t>
      </w:r>
      <w:r w:rsidR="007012B9">
        <w:t>F</w:t>
      </w:r>
      <w:r w:rsidR="00820523">
        <w:t xml:space="preserve"> (37</w:t>
      </w:r>
      <w:r w:rsidR="00820523">
        <w:rPr>
          <w:rFonts w:cs="Arial"/>
        </w:rPr>
        <w:t>°</w:t>
      </w:r>
      <w:r w:rsidR="00820523">
        <w:t>C)</w:t>
      </w:r>
      <w:r w:rsidR="007012B9">
        <w:t>.</w:t>
      </w:r>
    </w:p>
    <w:p w14:paraId="2943D166" w14:textId="77777777" w:rsidR="003B15C2" w:rsidRDefault="003B15C2" w:rsidP="007012B9">
      <w:pPr>
        <w:pStyle w:val="4BidStylea"/>
      </w:pPr>
      <w:r>
        <w:t>Class B repair material concrete age is less than 28 days, unless approved by the Project Manager.</w:t>
      </w:r>
    </w:p>
    <w:p w14:paraId="29C50D0C" w14:textId="60B6E5F5" w:rsidR="003B15C2" w:rsidRDefault="003B15C2" w:rsidP="007012B9">
      <w:pPr>
        <w:pStyle w:val="4BidStylea"/>
      </w:pPr>
      <w:r>
        <w:t>The deck temperature exceeds 100</w:t>
      </w:r>
      <w:r w:rsidR="007012B9">
        <w:rPr>
          <w:rFonts w:cs="Arial"/>
        </w:rPr>
        <w:t>°</w:t>
      </w:r>
      <w:r>
        <w:t>F</w:t>
      </w:r>
      <w:r w:rsidR="00820523">
        <w:t xml:space="preserve"> (38</w:t>
      </w:r>
      <w:r w:rsidR="00820523">
        <w:rPr>
          <w:rFonts w:cs="Arial"/>
        </w:rPr>
        <w:t>°</w:t>
      </w:r>
      <w:r w:rsidR="00820523">
        <w:t>C)</w:t>
      </w:r>
      <w:r>
        <w:t>.</w:t>
      </w:r>
    </w:p>
    <w:p w14:paraId="07925AC8" w14:textId="77777777" w:rsidR="003B15C2" w:rsidRDefault="003B15C2" w:rsidP="007012B9">
      <w:pPr>
        <w:pStyle w:val="4BidStylea"/>
      </w:pPr>
      <w:r>
        <w:t>The polymer gel time is less than 10 minutes at the predicted high air temperature for the day.</w:t>
      </w:r>
    </w:p>
    <w:p w14:paraId="14B160D5" w14:textId="66651EC1" w:rsidR="003B15C2" w:rsidRDefault="003B15C2" w:rsidP="006128A1">
      <w:pPr>
        <w:pStyle w:val="BodyTextFirstIndent"/>
      </w:pPr>
      <w:r>
        <w:lastRenderedPageBreak/>
        <w:t>After the deck has been shotblasted and during the polymer overlay primer and overlay curing periods, only necessary surface preparation and overlay application equipment will be allowed on the deck. Begin the polymer overlay primer placement as soon as possible after surface preparation operations, followed by the polymer overlay placement as soon as possible after placement of the polymer overlay primer placement. A wet on wet application of the polymer overlay primer and polymer overlay is allowed.</w:t>
      </w:r>
    </w:p>
    <w:p w14:paraId="6698100F" w14:textId="45AF25BF" w:rsidR="00820523" w:rsidRDefault="003B15C2" w:rsidP="006128A1">
      <w:pPr>
        <w:pStyle w:val="BodyTextFirstIndent"/>
      </w:pPr>
      <w:r>
        <w:t xml:space="preserve">Use a polymer overlay consisting of a two-course application of polymer and aggregate, consisting of a layer of polymer covered with a layer of aggregate in sufficient quantity to completely cover the polymer. Apply the polymer and aggregate according to the manufacturer’s requirements. Apply the overlay using equipment designed for this purpose. Use an application machine that features positive displacement volumetric metering and </w:t>
      </w:r>
      <w:r w:rsidR="00820523">
        <w:t>can store</w:t>
      </w:r>
      <w:r>
        <w:t xml:space="preserve"> and mix the polymer resins at the proper mix ratio. Disperse the aggregate using a standard chip spreader or equivalent machine that can provide a uniform, consistent coverage of aggregate.</w:t>
      </w:r>
    </w:p>
    <w:p w14:paraId="1829C2EF" w14:textId="1AAC2B60" w:rsidR="006128A1" w:rsidRDefault="006128A1" w:rsidP="006128A1">
      <w:pPr>
        <w:pStyle w:val="BodyTextFirstIndent"/>
      </w:pPr>
      <w:r>
        <w:t>Apply the polymer overlay in accordance with the manufacturer’s instructions, but not less than the following rate of application:</w:t>
      </w:r>
    </w:p>
    <w:p w14:paraId="5A08B7F9" w14:textId="77777777" w:rsidR="006128A1" w:rsidRDefault="006128A1" w:rsidP="006128A1">
      <w:pPr>
        <w:pStyle w:val="BodyTextFirstIndent"/>
      </w:pPr>
    </w:p>
    <w:p w14:paraId="1527F948" w14:textId="34FAF595" w:rsidR="006128A1" w:rsidRDefault="006128A1" w:rsidP="006128A1">
      <w:pPr>
        <w:jc w:val="center"/>
      </w:pPr>
      <w:r>
        <w:t>Application Rates</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88"/>
        <w:gridCol w:w="3132"/>
        <w:gridCol w:w="3121"/>
      </w:tblGrid>
      <w:tr w:rsidR="006128A1" w:rsidRPr="00F6034A" w14:paraId="695388D6" w14:textId="77777777" w:rsidTr="006128A1">
        <w:trPr>
          <w:trHeight w:val="678"/>
          <w:jc w:val="center"/>
        </w:trPr>
        <w:tc>
          <w:tcPr>
            <w:tcW w:w="1188" w:type="dxa"/>
            <w:tcBorders>
              <w:top w:val="single" w:sz="6" w:space="0" w:color="auto"/>
              <w:left w:val="single" w:sz="6" w:space="0" w:color="auto"/>
              <w:bottom w:val="nil"/>
              <w:right w:val="single" w:sz="6" w:space="0" w:color="auto"/>
            </w:tcBorders>
            <w:shd w:val="clear" w:color="auto" w:fill="D9D9D9" w:themeFill="background1" w:themeFillShade="D9"/>
            <w:vAlign w:val="center"/>
          </w:tcPr>
          <w:p w14:paraId="39930A4F" w14:textId="77777777" w:rsidR="006128A1" w:rsidRPr="00F6034A" w:rsidRDefault="006128A1" w:rsidP="00D9128D">
            <w:pPr>
              <w:spacing w:after="160" w:line="259" w:lineRule="auto"/>
              <w:jc w:val="center"/>
              <w:rPr>
                <w:rFonts w:eastAsia="Calibri" w:cs="Arial"/>
                <w:bCs/>
              </w:rPr>
            </w:pPr>
            <w:r w:rsidRPr="00F6034A">
              <w:rPr>
                <w:rFonts w:eastAsia="Calibri" w:cs="Arial"/>
                <w:bCs/>
              </w:rPr>
              <w:t>Course</w:t>
            </w:r>
          </w:p>
        </w:tc>
        <w:tc>
          <w:tcPr>
            <w:tcW w:w="3132" w:type="dxa"/>
            <w:tcBorders>
              <w:top w:val="single" w:sz="6" w:space="0" w:color="auto"/>
              <w:left w:val="single" w:sz="6" w:space="0" w:color="auto"/>
              <w:bottom w:val="nil"/>
              <w:right w:val="single" w:sz="6" w:space="0" w:color="auto"/>
            </w:tcBorders>
            <w:shd w:val="clear" w:color="auto" w:fill="D9D9D9" w:themeFill="background1" w:themeFillShade="D9"/>
            <w:vAlign w:val="center"/>
          </w:tcPr>
          <w:p w14:paraId="58FF59A8" w14:textId="77777777" w:rsidR="006128A1" w:rsidRPr="00F6034A" w:rsidRDefault="006128A1" w:rsidP="00D9128D">
            <w:pPr>
              <w:spacing w:after="160" w:line="259" w:lineRule="auto"/>
              <w:jc w:val="center"/>
              <w:rPr>
                <w:rFonts w:eastAsia="Calibri" w:cs="Arial"/>
                <w:bCs/>
              </w:rPr>
            </w:pPr>
            <w:r w:rsidRPr="00F6034A">
              <w:rPr>
                <w:rFonts w:eastAsia="Calibri" w:cs="Arial"/>
                <w:bCs/>
              </w:rPr>
              <w:t>Minimum Polymer Application Rate (GAL/100 SF)</w:t>
            </w:r>
          </w:p>
        </w:tc>
        <w:tc>
          <w:tcPr>
            <w:tcW w:w="3121" w:type="dxa"/>
            <w:tcBorders>
              <w:top w:val="single" w:sz="6" w:space="0" w:color="auto"/>
              <w:left w:val="single" w:sz="6" w:space="0" w:color="auto"/>
              <w:bottom w:val="nil"/>
              <w:right w:val="single" w:sz="6" w:space="0" w:color="auto"/>
            </w:tcBorders>
            <w:shd w:val="clear" w:color="auto" w:fill="D9D9D9" w:themeFill="background1" w:themeFillShade="D9"/>
            <w:vAlign w:val="center"/>
          </w:tcPr>
          <w:p w14:paraId="571F5D85" w14:textId="77777777" w:rsidR="006128A1" w:rsidRPr="00F6034A" w:rsidRDefault="006128A1" w:rsidP="00D9128D">
            <w:pPr>
              <w:spacing w:after="160" w:line="259" w:lineRule="auto"/>
              <w:jc w:val="center"/>
              <w:rPr>
                <w:rFonts w:eastAsia="Calibri" w:cs="Arial"/>
                <w:bCs/>
              </w:rPr>
            </w:pPr>
            <w:r w:rsidRPr="00F6034A">
              <w:rPr>
                <w:rFonts w:eastAsia="Calibri" w:cs="Arial"/>
                <w:bCs/>
              </w:rPr>
              <w:t xml:space="preserve">Aggregate </w:t>
            </w:r>
            <w:r w:rsidRPr="00F6034A">
              <w:rPr>
                <w:rFonts w:eastAsia="Calibri" w:cs="Arial"/>
                <w:bCs/>
                <w:vertAlign w:val="superscript"/>
              </w:rPr>
              <w:t>A</w:t>
            </w:r>
            <w:r w:rsidRPr="00F6034A">
              <w:rPr>
                <w:rFonts w:eastAsia="Calibri" w:cs="Arial"/>
                <w:bCs/>
              </w:rPr>
              <w:t xml:space="preserve"> (LBS/SY)</w:t>
            </w:r>
          </w:p>
        </w:tc>
      </w:tr>
      <w:tr w:rsidR="006128A1" w:rsidRPr="00F6034A" w14:paraId="56378678" w14:textId="77777777" w:rsidTr="006128A1">
        <w:trPr>
          <w:jc w:val="center"/>
        </w:trPr>
        <w:tc>
          <w:tcPr>
            <w:tcW w:w="1188" w:type="dxa"/>
            <w:tcBorders>
              <w:top w:val="single" w:sz="6" w:space="0" w:color="auto"/>
              <w:left w:val="single" w:sz="6" w:space="0" w:color="auto"/>
              <w:bottom w:val="single" w:sz="6" w:space="0" w:color="auto"/>
              <w:right w:val="single" w:sz="6" w:space="0" w:color="auto"/>
            </w:tcBorders>
            <w:vAlign w:val="center"/>
          </w:tcPr>
          <w:p w14:paraId="44B56B8F" w14:textId="77777777" w:rsidR="006128A1" w:rsidRPr="00F6034A" w:rsidRDefault="006128A1" w:rsidP="00D9128D">
            <w:pPr>
              <w:spacing w:after="160" w:line="259" w:lineRule="auto"/>
              <w:jc w:val="center"/>
              <w:rPr>
                <w:rFonts w:eastAsia="Calibri" w:cs="Arial"/>
              </w:rPr>
            </w:pPr>
            <w:r w:rsidRPr="00F6034A">
              <w:rPr>
                <w:rFonts w:eastAsia="Calibri" w:cs="Arial"/>
              </w:rPr>
              <w:t>1</w:t>
            </w:r>
          </w:p>
        </w:tc>
        <w:tc>
          <w:tcPr>
            <w:tcW w:w="3132" w:type="dxa"/>
            <w:tcBorders>
              <w:top w:val="single" w:sz="6" w:space="0" w:color="auto"/>
              <w:left w:val="single" w:sz="6" w:space="0" w:color="auto"/>
              <w:bottom w:val="single" w:sz="6" w:space="0" w:color="auto"/>
              <w:right w:val="single" w:sz="6" w:space="0" w:color="auto"/>
            </w:tcBorders>
            <w:vAlign w:val="center"/>
          </w:tcPr>
          <w:p w14:paraId="7EEC236A" w14:textId="77777777" w:rsidR="006128A1" w:rsidRPr="00F6034A" w:rsidRDefault="006128A1" w:rsidP="00D9128D">
            <w:pPr>
              <w:spacing w:after="160" w:line="259" w:lineRule="auto"/>
              <w:jc w:val="center"/>
              <w:rPr>
                <w:rFonts w:eastAsia="Calibri" w:cs="Arial"/>
              </w:rPr>
            </w:pPr>
            <w:r w:rsidRPr="00F6034A">
              <w:rPr>
                <w:rFonts w:eastAsia="Calibri" w:cs="Arial"/>
              </w:rPr>
              <w:t>2.5</w:t>
            </w:r>
          </w:p>
        </w:tc>
        <w:tc>
          <w:tcPr>
            <w:tcW w:w="3121" w:type="dxa"/>
            <w:tcBorders>
              <w:top w:val="single" w:sz="6" w:space="0" w:color="auto"/>
              <w:left w:val="single" w:sz="6" w:space="0" w:color="auto"/>
              <w:bottom w:val="single" w:sz="6" w:space="0" w:color="auto"/>
              <w:right w:val="single" w:sz="6" w:space="0" w:color="auto"/>
            </w:tcBorders>
            <w:vAlign w:val="center"/>
          </w:tcPr>
          <w:p w14:paraId="44178AE0" w14:textId="77777777" w:rsidR="006128A1" w:rsidRPr="00F6034A" w:rsidRDefault="006128A1" w:rsidP="00D9128D">
            <w:pPr>
              <w:spacing w:after="160" w:line="259" w:lineRule="auto"/>
              <w:jc w:val="center"/>
              <w:rPr>
                <w:rFonts w:eastAsia="Calibri" w:cs="Arial"/>
              </w:rPr>
            </w:pPr>
            <w:r w:rsidRPr="00F6034A">
              <w:rPr>
                <w:rFonts w:eastAsia="Calibri" w:cs="Arial"/>
              </w:rPr>
              <w:t>10+</w:t>
            </w:r>
          </w:p>
        </w:tc>
      </w:tr>
      <w:tr w:rsidR="006128A1" w:rsidRPr="00F6034A" w14:paraId="73540263" w14:textId="77777777" w:rsidTr="006128A1">
        <w:trPr>
          <w:jc w:val="center"/>
        </w:trPr>
        <w:tc>
          <w:tcPr>
            <w:tcW w:w="1188" w:type="dxa"/>
            <w:tcBorders>
              <w:top w:val="single" w:sz="6" w:space="0" w:color="auto"/>
              <w:left w:val="single" w:sz="6" w:space="0" w:color="auto"/>
              <w:bottom w:val="single" w:sz="6" w:space="0" w:color="auto"/>
              <w:right w:val="single" w:sz="6" w:space="0" w:color="auto"/>
            </w:tcBorders>
            <w:vAlign w:val="center"/>
          </w:tcPr>
          <w:p w14:paraId="2B2E944B" w14:textId="77777777" w:rsidR="006128A1" w:rsidRPr="00F6034A" w:rsidRDefault="006128A1" w:rsidP="00D9128D">
            <w:pPr>
              <w:spacing w:after="160" w:line="259" w:lineRule="auto"/>
              <w:jc w:val="center"/>
              <w:rPr>
                <w:rFonts w:eastAsia="Calibri" w:cs="Arial"/>
              </w:rPr>
            </w:pPr>
            <w:r w:rsidRPr="00F6034A">
              <w:rPr>
                <w:rFonts w:eastAsia="Calibri" w:cs="Arial"/>
              </w:rPr>
              <w:t>2</w:t>
            </w:r>
          </w:p>
        </w:tc>
        <w:tc>
          <w:tcPr>
            <w:tcW w:w="3132" w:type="dxa"/>
            <w:tcBorders>
              <w:top w:val="single" w:sz="6" w:space="0" w:color="auto"/>
              <w:left w:val="single" w:sz="6" w:space="0" w:color="auto"/>
              <w:bottom w:val="single" w:sz="6" w:space="0" w:color="auto"/>
              <w:right w:val="single" w:sz="6" w:space="0" w:color="auto"/>
            </w:tcBorders>
            <w:vAlign w:val="center"/>
          </w:tcPr>
          <w:p w14:paraId="34FBCDE6" w14:textId="77777777" w:rsidR="006128A1" w:rsidRPr="00F6034A" w:rsidRDefault="006128A1" w:rsidP="00D9128D">
            <w:pPr>
              <w:spacing w:after="160" w:line="259" w:lineRule="auto"/>
              <w:jc w:val="center"/>
              <w:rPr>
                <w:rFonts w:eastAsia="Calibri" w:cs="Arial"/>
              </w:rPr>
            </w:pPr>
            <w:r w:rsidRPr="00F6034A">
              <w:rPr>
                <w:rFonts w:eastAsia="Calibri" w:cs="Arial"/>
              </w:rPr>
              <w:t>5.0</w:t>
            </w:r>
          </w:p>
        </w:tc>
        <w:tc>
          <w:tcPr>
            <w:tcW w:w="3121" w:type="dxa"/>
            <w:tcBorders>
              <w:top w:val="single" w:sz="6" w:space="0" w:color="auto"/>
              <w:left w:val="single" w:sz="6" w:space="0" w:color="auto"/>
              <w:bottom w:val="single" w:sz="6" w:space="0" w:color="auto"/>
              <w:right w:val="single" w:sz="6" w:space="0" w:color="auto"/>
            </w:tcBorders>
            <w:vAlign w:val="center"/>
          </w:tcPr>
          <w:p w14:paraId="3B16C36D" w14:textId="77777777" w:rsidR="006128A1" w:rsidRPr="00F6034A" w:rsidRDefault="006128A1" w:rsidP="00D9128D">
            <w:pPr>
              <w:spacing w:after="160" w:line="259" w:lineRule="auto"/>
              <w:jc w:val="center"/>
              <w:rPr>
                <w:rFonts w:eastAsia="Calibri" w:cs="Arial"/>
              </w:rPr>
            </w:pPr>
            <w:r w:rsidRPr="00F6034A">
              <w:rPr>
                <w:rFonts w:eastAsia="Calibri" w:cs="Arial"/>
              </w:rPr>
              <w:t>14+</w:t>
            </w:r>
          </w:p>
        </w:tc>
      </w:tr>
    </w:tbl>
    <w:p w14:paraId="78EC8F57" w14:textId="77777777" w:rsidR="006128A1" w:rsidRPr="00F6034A" w:rsidRDefault="006128A1" w:rsidP="006128A1">
      <w:pPr>
        <w:ind w:left="720"/>
        <w:rPr>
          <w:rFonts w:eastAsia="Calibri" w:cs="Arial"/>
        </w:rPr>
      </w:pPr>
      <w:r w:rsidRPr="00F6034A">
        <w:rPr>
          <w:rFonts w:eastAsia="Calibri" w:cs="Arial"/>
          <w:vertAlign w:val="superscript"/>
        </w:rPr>
        <w:t>A</w:t>
      </w:r>
      <w:r w:rsidRPr="00F6034A">
        <w:rPr>
          <w:rFonts w:eastAsia="Calibri" w:cs="Arial"/>
        </w:rPr>
        <w:t xml:space="preserve"> Apply aggregate in sufficient quantity to completely cover the polymer.</w:t>
      </w:r>
    </w:p>
    <w:p w14:paraId="6B47F59D" w14:textId="42A67116" w:rsidR="006128A1" w:rsidRDefault="006128A1" w:rsidP="006128A1">
      <w:pPr>
        <w:pStyle w:val="BodyTextFirstIndent"/>
      </w:pPr>
    </w:p>
    <w:p w14:paraId="73DC8B5D" w14:textId="1B86AAD8" w:rsidR="003B15C2" w:rsidRDefault="003B15C2" w:rsidP="006128A1">
      <w:pPr>
        <w:pStyle w:val="BodyTextFirstIndent"/>
      </w:pPr>
      <w:r>
        <w:t xml:space="preserve">If the Project </w:t>
      </w:r>
      <w:r w:rsidR="00820523">
        <w:t>M</w:t>
      </w:r>
      <w:r>
        <w:t>anager determines that the course application does not receive enough aggregate before the polymer gels, remove and replace the course.</w:t>
      </w:r>
    </w:p>
    <w:p w14:paraId="217544F3" w14:textId="77777777" w:rsidR="006128A1" w:rsidRDefault="006128A1" w:rsidP="00547227">
      <w:pPr>
        <w:pStyle w:val="3BidStyle1"/>
      </w:pPr>
      <w:r>
        <w:t xml:space="preserve">Minimum Curing Period. </w:t>
      </w:r>
      <w:r w:rsidR="003B15C2">
        <w:t xml:space="preserve">After completion of the course, cure the overlay </w:t>
      </w:r>
      <w:r>
        <w:t>in accordance with</w:t>
      </w:r>
      <w:r w:rsidR="003B15C2">
        <w:t xml:space="preserve"> the manufacturer’s </w:t>
      </w:r>
      <w:r>
        <w:t>recommendations</w:t>
      </w:r>
      <w:r w:rsidR="003B15C2">
        <w:t xml:space="preserve">. </w:t>
      </w:r>
    </w:p>
    <w:p w14:paraId="1731F75F" w14:textId="2620EFCB" w:rsidR="006128A1" w:rsidRDefault="006128A1" w:rsidP="00547227">
      <w:pPr>
        <w:pStyle w:val="3BidStyle1"/>
      </w:pPr>
      <w:r>
        <w:t xml:space="preserve">Opening to Traffic. </w:t>
      </w:r>
      <w:r w:rsidR="003B15C2">
        <w:t>Remove the excess aggregate from the surface treatment by sweeping, blowing, or vacuuming without tearing or damaging the surface; the material may be re-used if approved by the Project Manager and manufacturer.</w:t>
      </w:r>
    </w:p>
    <w:p w14:paraId="28C404EF" w14:textId="77777777" w:rsidR="00547227" w:rsidRDefault="006128A1" w:rsidP="006128A1">
      <w:pPr>
        <w:pStyle w:val="BodyTextFirstIndent"/>
      </w:pPr>
      <w:r>
        <w:t>C</w:t>
      </w:r>
      <w:r w:rsidR="003B15C2">
        <w:t xml:space="preserve">lean expansion joints and joint seals of all debris and polymer. </w:t>
      </w:r>
    </w:p>
    <w:p w14:paraId="02FE0771" w14:textId="77777777" w:rsidR="00547227" w:rsidRDefault="00547227" w:rsidP="00547227">
      <w:pPr>
        <w:pStyle w:val="3BidStyle1"/>
        <w:numPr>
          <w:ilvl w:val="0"/>
          <w:numId w:val="0"/>
        </w:numPr>
        <w:ind w:left="720"/>
      </w:pPr>
      <w:r w:rsidRPr="00547227">
        <w:t>Do not allow traffic on the treated area until directed by the Project Manager.</w:t>
      </w:r>
    </w:p>
    <w:p w14:paraId="73EFE9A3" w14:textId="18741E77" w:rsidR="003B15C2" w:rsidRDefault="00547227" w:rsidP="006128A1">
      <w:pPr>
        <w:pStyle w:val="BodyTextFirstIndent"/>
      </w:pPr>
      <w:r>
        <w:t>The Project Manager may require additional sweeping or cleaning to remove loosened aggregates from the deck following opening to traffic.</w:t>
      </w:r>
    </w:p>
    <w:p w14:paraId="590DC1BE" w14:textId="77777777" w:rsidR="006128A1" w:rsidRDefault="003B15C2" w:rsidP="00547227">
      <w:pPr>
        <w:pStyle w:val="3BidStyle1"/>
      </w:pPr>
      <w:r>
        <w:t xml:space="preserve">Repair of Polymer Overlay. Repair all areas of unbonded, uncured, or damaged polymer overlay at no cost to the State. Submit repair procedures from the manufacturer for approval. </w:t>
      </w:r>
      <w:r w:rsidR="006128A1">
        <w:t xml:space="preserve">If no recommendations from the manufacturer, </w:t>
      </w:r>
      <w:r>
        <w:t xml:space="preserve">complete repairs </w:t>
      </w:r>
      <w:r w:rsidR="006128A1">
        <w:t>in accordance with</w:t>
      </w:r>
      <w:r>
        <w:t xml:space="preserve"> the following: </w:t>
      </w:r>
    </w:p>
    <w:p w14:paraId="69DA4DFE" w14:textId="70D1FE3E" w:rsidR="006128A1" w:rsidRDefault="003B15C2" w:rsidP="006128A1">
      <w:pPr>
        <w:pStyle w:val="4BidStylea"/>
      </w:pPr>
      <w:r>
        <w:t xml:space="preserve">Saw cut the limits of the area to the top of the </w:t>
      </w:r>
      <w:r w:rsidR="006128A1">
        <w:t>concrete.</w:t>
      </w:r>
      <w:r>
        <w:t xml:space="preserve"> </w:t>
      </w:r>
    </w:p>
    <w:p w14:paraId="47716B5A" w14:textId="441F597E" w:rsidR="006128A1" w:rsidRDefault="006128A1" w:rsidP="006128A1">
      <w:pPr>
        <w:pStyle w:val="4BidStylea"/>
      </w:pPr>
      <w:r>
        <w:t>R</w:t>
      </w:r>
      <w:r w:rsidR="003B15C2">
        <w:t xml:space="preserve">emove the overlay by scarifying, grinding, or other approved </w:t>
      </w:r>
      <w:r>
        <w:t>methods.</w:t>
      </w:r>
      <w:r w:rsidR="003B15C2">
        <w:t xml:space="preserve"> </w:t>
      </w:r>
    </w:p>
    <w:p w14:paraId="0491254F" w14:textId="6B30AECF" w:rsidR="006128A1" w:rsidRDefault="006128A1" w:rsidP="006128A1">
      <w:pPr>
        <w:pStyle w:val="4BidStylea"/>
      </w:pPr>
      <w:r>
        <w:t>S</w:t>
      </w:r>
      <w:r w:rsidR="003B15C2">
        <w:t xml:space="preserve">hot blast or sand blast and air blast the concrete prior to placement of polymer </w:t>
      </w:r>
      <w:r>
        <w:t>overlay.</w:t>
      </w:r>
    </w:p>
    <w:p w14:paraId="1DB8E03A" w14:textId="51815F45" w:rsidR="003B15C2" w:rsidRDefault="006128A1" w:rsidP="006128A1">
      <w:pPr>
        <w:pStyle w:val="4BidStylea"/>
      </w:pPr>
      <w:r>
        <w:t>P</w:t>
      </w:r>
      <w:r w:rsidR="003B15C2">
        <w:t xml:space="preserve">lace the polymer overlay </w:t>
      </w:r>
      <w:r>
        <w:t>in accordance with</w:t>
      </w:r>
      <w:r w:rsidR="003B15C2">
        <w:t xml:space="preserve"> the application procedures required in this special provision.</w:t>
      </w:r>
    </w:p>
    <w:p w14:paraId="3EED6FE1" w14:textId="39C18C87" w:rsidR="003B15C2" w:rsidRDefault="003B15C2" w:rsidP="001E1E15">
      <w:pPr>
        <w:pStyle w:val="2BidStyleA"/>
      </w:pPr>
      <w:r>
        <w:t xml:space="preserve">Method of Measurement. Deck surface preparation is measured by square yard of deck surface area treated. Bridge Polymer Overlay Primer is measured by the square yard of deck surface area. Polymer Overlay is measured by square yard of deck surface area treated. </w:t>
      </w:r>
    </w:p>
    <w:p w14:paraId="35E9DF09" w14:textId="6A642415" w:rsidR="003B15C2" w:rsidRDefault="003B15C2" w:rsidP="001E1E15">
      <w:pPr>
        <w:pStyle w:val="2BidStyleA"/>
      </w:pPr>
      <w:r>
        <w:t>Basis of Payment. Payment for the completed and accepted quantities is made under the following:</w:t>
      </w:r>
    </w:p>
    <w:p w14:paraId="681E1D01" w14:textId="77777777" w:rsidR="003B15C2" w:rsidRDefault="003B15C2" w:rsidP="003B15C2"/>
    <w:tbl>
      <w:tblPr>
        <w:tblStyle w:val="TableGrid"/>
        <w:tblW w:w="0" w:type="auto"/>
        <w:jc w:val="center"/>
        <w:tblLook w:val="04A0" w:firstRow="1" w:lastRow="0" w:firstColumn="1" w:lastColumn="0" w:noHBand="0" w:noVBand="1"/>
      </w:tblPr>
      <w:tblGrid>
        <w:gridCol w:w="2965"/>
        <w:gridCol w:w="1620"/>
      </w:tblGrid>
      <w:tr w:rsidR="0008563E" w:rsidRPr="0008563E" w14:paraId="2E344687" w14:textId="77777777" w:rsidTr="0008563E">
        <w:trPr>
          <w:jc w:val="center"/>
        </w:trPr>
        <w:tc>
          <w:tcPr>
            <w:tcW w:w="2965" w:type="dxa"/>
            <w:shd w:val="clear" w:color="auto" w:fill="D9D9D9" w:themeFill="background1" w:themeFillShade="D9"/>
            <w:vAlign w:val="center"/>
          </w:tcPr>
          <w:p w14:paraId="6530CB28" w14:textId="77777777" w:rsidR="0008563E" w:rsidRPr="0008563E" w:rsidRDefault="0008563E" w:rsidP="0008563E">
            <w:pPr>
              <w:jc w:val="center"/>
            </w:pPr>
            <w:r w:rsidRPr="0008563E">
              <w:t>Pay Item</w:t>
            </w:r>
          </w:p>
        </w:tc>
        <w:tc>
          <w:tcPr>
            <w:tcW w:w="1620" w:type="dxa"/>
            <w:shd w:val="clear" w:color="auto" w:fill="D9D9D9" w:themeFill="background1" w:themeFillShade="D9"/>
            <w:vAlign w:val="center"/>
          </w:tcPr>
          <w:p w14:paraId="1BEEAB74" w14:textId="1F124473" w:rsidR="0008563E" w:rsidRPr="0008563E" w:rsidRDefault="0008563E" w:rsidP="0008563E">
            <w:pPr>
              <w:jc w:val="center"/>
            </w:pPr>
            <w:r w:rsidRPr="0008563E">
              <w:t>Pay Unit</w:t>
            </w:r>
          </w:p>
        </w:tc>
      </w:tr>
      <w:tr w:rsidR="0008563E" w:rsidRPr="0008563E" w14:paraId="2E685A7C" w14:textId="77777777" w:rsidTr="0008563E">
        <w:trPr>
          <w:jc w:val="center"/>
        </w:trPr>
        <w:tc>
          <w:tcPr>
            <w:tcW w:w="2965" w:type="dxa"/>
            <w:vAlign w:val="center"/>
          </w:tcPr>
          <w:p w14:paraId="3D07E6F5" w14:textId="77777777" w:rsidR="0008563E" w:rsidRPr="0008563E" w:rsidRDefault="0008563E" w:rsidP="0008563E">
            <w:r w:rsidRPr="0008563E">
              <w:t>Prepare Deck</w:t>
            </w:r>
          </w:p>
        </w:tc>
        <w:tc>
          <w:tcPr>
            <w:tcW w:w="1620" w:type="dxa"/>
            <w:vAlign w:val="center"/>
          </w:tcPr>
          <w:p w14:paraId="733409C9" w14:textId="7B7256CC" w:rsidR="0008563E" w:rsidRPr="0008563E" w:rsidRDefault="0008563E" w:rsidP="0008563E">
            <w:r w:rsidRPr="0008563E">
              <w:t>SQYD</w:t>
            </w:r>
          </w:p>
        </w:tc>
      </w:tr>
      <w:tr w:rsidR="0008563E" w:rsidRPr="0008563E" w14:paraId="4AECD0A3" w14:textId="77777777" w:rsidTr="0008563E">
        <w:trPr>
          <w:jc w:val="center"/>
        </w:trPr>
        <w:tc>
          <w:tcPr>
            <w:tcW w:w="2965" w:type="dxa"/>
            <w:vAlign w:val="center"/>
          </w:tcPr>
          <w:p w14:paraId="25200278" w14:textId="77777777" w:rsidR="0008563E" w:rsidRPr="0008563E" w:rsidRDefault="0008563E" w:rsidP="0008563E">
            <w:r w:rsidRPr="0008563E">
              <w:t>Polymer Overlay Primer</w:t>
            </w:r>
          </w:p>
        </w:tc>
        <w:tc>
          <w:tcPr>
            <w:tcW w:w="1620" w:type="dxa"/>
            <w:vAlign w:val="center"/>
          </w:tcPr>
          <w:p w14:paraId="580B774E" w14:textId="77777777" w:rsidR="0008563E" w:rsidRPr="0008563E" w:rsidRDefault="0008563E" w:rsidP="0008563E">
            <w:r w:rsidRPr="0008563E">
              <w:t>SQYD</w:t>
            </w:r>
          </w:p>
        </w:tc>
      </w:tr>
      <w:tr w:rsidR="0008563E" w:rsidRPr="0008563E" w14:paraId="5F8B2CA7" w14:textId="77777777" w:rsidTr="0008563E">
        <w:trPr>
          <w:jc w:val="center"/>
        </w:trPr>
        <w:tc>
          <w:tcPr>
            <w:tcW w:w="2965" w:type="dxa"/>
            <w:vAlign w:val="center"/>
          </w:tcPr>
          <w:p w14:paraId="7A0CED3B" w14:textId="77777777" w:rsidR="0008563E" w:rsidRPr="0008563E" w:rsidRDefault="0008563E" w:rsidP="0008563E">
            <w:r w:rsidRPr="0008563E">
              <w:t>Polymer Overlay</w:t>
            </w:r>
          </w:p>
        </w:tc>
        <w:tc>
          <w:tcPr>
            <w:tcW w:w="1620" w:type="dxa"/>
            <w:vAlign w:val="center"/>
          </w:tcPr>
          <w:p w14:paraId="5CF5DF7A" w14:textId="5DA4C63B" w:rsidR="0008563E" w:rsidRPr="0008563E" w:rsidRDefault="0008563E" w:rsidP="0008563E">
            <w:r w:rsidRPr="0008563E">
              <w:t>SQYD</w:t>
            </w:r>
          </w:p>
        </w:tc>
      </w:tr>
      <w:tr w:rsidR="0008563E" w:rsidRPr="0008563E" w14:paraId="3F8751C1" w14:textId="77777777" w:rsidTr="0008563E">
        <w:trPr>
          <w:jc w:val="center"/>
        </w:trPr>
        <w:tc>
          <w:tcPr>
            <w:tcW w:w="2965" w:type="dxa"/>
            <w:vAlign w:val="center"/>
          </w:tcPr>
          <w:p w14:paraId="793CDAA1" w14:textId="108BC8D8" w:rsidR="0008563E" w:rsidRPr="0008563E" w:rsidRDefault="0008563E" w:rsidP="0008563E"/>
        </w:tc>
        <w:tc>
          <w:tcPr>
            <w:tcW w:w="1620" w:type="dxa"/>
            <w:vAlign w:val="center"/>
          </w:tcPr>
          <w:p w14:paraId="2E9C5C22" w14:textId="77777777" w:rsidR="0008563E" w:rsidRPr="0008563E" w:rsidRDefault="0008563E" w:rsidP="0008563E"/>
        </w:tc>
      </w:tr>
    </w:tbl>
    <w:p w14:paraId="16471DA4" w14:textId="77777777" w:rsidR="003B15C2" w:rsidRDefault="003B15C2" w:rsidP="003B15C2"/>
    <w:p w14:paraId="4148CC70" w14:textId="7E49FD85" w:rsidR="003B15C2" w:rsidRDefault="0008563E" w:rsidP="0008563E">
      <w:pPr>
        <w:pStyle w:val="BodyTextFirstIndent"/>
      </w:pPr>
      <w:bookmarkStart w:id="0" w:name="_Hlk49256544"/>
      <w:r>
        <w:t>Payment at the contract unit price is full compensation for all resources necessary to complete the item of work in accordance with the contract.</w:t>
      </w:r>
    </w:p>
    <w:bookmarkEnd w:id="0"/>
    <w:p w14:paraId="4D5D7104" w14:textId="77777777" w:rsidR="00767896" w:rsidRPr="00562C41" w:rsidRDefault="00767896" w:rsidP="00767896"/>
    <w:sectPr w:rsidR="00767896" w:rsidRPr="00562C41" w:rsidSect="00CC0D64">
      <w:headerReference w:type="even" r:id="rId8"/>
      <w:footerReference w:type="even" r:id="rId9"/>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32355" w14:textId="77777777" w:rsidR="00FD45A5" w:rsidRDefault="00FD45A5">
      <w:r>
        <w:separator/>
      </w:r>
    </w:p>
  </w:endnote>
  <w:endnote w:type="continuationSeparator" w:id="0">
    <w:p w14:paraId="51A80779" w14:textId="77777777" w:rsidR="00FD45A5" w:rsidRDefault="00FD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72720" w14:textId="77777777" w:rsidR="00E53184" w:rsidRDefault="00E53184">
    <w:pPr>
      <w:pStyle w:val="Footer"/>
    </w:pPr>
  </w:p>
  <w:p w14:paraId="0514FD93"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1150A920"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AA823" w14:textId="77777777" w:rsidR="00FD45A5" w:rsidRDefault="00FD45A5">
      <w:r>
        <w:separator/>
      </w:r>
    </w:p>
  </w:footnote>
  <w:footnote w:type="continuationSeparator" w:id="0">
    <w:p w14:paraId="26701354" w14:textId="77777777" w:rsidR="00FD45A5" w:rsidRDefault="00FD4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4E3B2C9E" w14:textId="77777777">
      <w:tc>
        <w:tcPr>
          <w:tcW w:w="6858" w:type="dxa"/>
        </w:tcPr>
        <w:p w14:paraId="77C9D0FE" w14:textId="77777777" w:rsidR="00E53184" w:rsidRDefault="009E3460">
          <w:pPr>
            <w:pStyle w:val="Header"/>
          </w:pPr>
          <w:r>
            <w:fldChar w:fldCharType="begin"/>
          </w:r>
          <w:r>
            <w:instrText xml:space="preserve"> REF ProjectNo </w:instrText>
          </w:r>
          <w:r>
            <w:fldChar w:fldCharType="separate"/>
          </w:r>
          <w:r w:rsidR="00BF7CFB">
            <w:rPr>
              <w:b/>
              <w:bCs/>
            </w:rPr>
            <w:t>Error! Reference source not found.</w:t>
          </w:r>
          <w:r>
            <w:fldChar w:fldCharType="end"/>
          </w:r>
        </w:p>
      </w:tc>
      <w:tc>
        <w:tcPr>
          <w:tcW w:w="2718" w:type="dxa"/>
        </w:tcPr>
        <w:p w14:paraId="1463A845" w14:textId="77777777" w:rsidR="00E53184" w:rsidRDefault="00E53184">
          <w:pPr>
            <w:pStyle w:val="Header"/>
            <w:jc w:val="right"/>
          </w:pPr>
          <w:r>
            <w:t>SPECIAL PROVISIONS</w:t>
          </w:r>
        </w:p>
      </w:tc>
    </w:tr>
  </w:tbl>
  <w:p w14:paraId="4F2B8329"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FB"/>
    <w:rsid w:val="00017446"/>
    <w:rsid w:val="00025AEC"/>
    <w:rsid w:val="00032F80"/>
    <w:rsid w:val="00051D1E"/>
    <w:rsid w:val="000853C1"/>
    <w:rsid w:val="0008563E"/>
    <w:rsid w:val="0009341C"/>
    <w:rsid w:val="000E7902"/>
    <w:rsid w:val="0011735B"/>
    <w:rsid w:val="001433CE"/>
    <w:rsid w:val="00145368"/>
    <w:rsid w:val="001612FF"/>
    <w:rsid w:val="00182F06"/>
    <w:rsid w:val="00185EF1"/>
    <w:rsid w:val="001908AB"/>
    <w:rsid w:val="001C237A"/>
    <w:rsid w:val="001D178C"/>
    <w:rsid w:val="001D530A"/>
    <w:rsid w:val="001E1E15"/>
    <w:rsid w:val="00222B0A"/>
    <w:rsid w:val="0023386F"/>
    <w:rsid w:val="00242C4A"/>
    <w:rsid w:val="00255D43"/>
    <w:rsid w:val="00257ED2"/>
    <w:rsid w:val="00264A46"/>
    <w:rsid w:val="0026704A"/>
    <w:rsid w:val="002866C1"/>
    <w:rsid w:val="002A7833"/>
    <w:rsid w:val="002D337D"/>
    <w:rsid w:val="002F112B"/>
    <w:rsid w:val="003013CF"/>
    <w:rsid w:val="00307308"/>
    <w:rsid w:val="00310E83"/>
    <w:rsid w:val="00332FB1"/>
    <w:rsid w:val="003A1939"/>
    <w:rsid w:val="003B15C2"/>
    <w:rsid w:val="003F3A47"/>
    <w:rsid w:val="004016E1"/>
    <w:rsid w:val="00403F81"/>
    <w:rsid w:val="00430ED8"/>
    <w:rsid w:val="0047483C"/>
    <w:rsid w:val="0047671E"/>
    <w:rsid w:val="004813F3"/>
    <w:rsid w:val="004852B0"/>
    <w:rsid w:val="004A002E"/>
    <w:rsid w:val="004C709F"/>
    <w:rsid w:val="004E5E9B"/>
    <w:rsid w:val="00505F4A"/>
    <w:rsid w:val="00511BB0"/>
    <w:rsid w:val="00514C26"/>
    <w:rsid w:val="00515070"/>
    <w:rsid w:val="00524AE8"/>
    <w:rsid w:val="0054513A"/>
    <w:rsid w:val="00547227"/>
    <w:rsid w:val="00551EBB"/>
    <w:rsid w:val="005527AE"/>
    <w:rsid w:val="005576E7"/>
    <w:rsid w:val="00562C41"/>
    <w:rsid w:val="00573399"/>
    <w:rsid w:val="00590A4F"/>
    <w:rsid w:val="0059135A"/>
    <w:rsid w:val="00597ADC"/>
    <w:rsid w:val="005C18A1"/>
    <w:rsid w:val="005F5841"/>
    <w:rsid w:val="006000BF"/>
    <w:rsid w:val="00607F94"/>
    <w:rsid w:val="006128A1"/>
    <w:rsid w:val="0062186C"/>
    <w:rsid w:val="0064651E"/>
    <w:rsid w:val="00656364"/>
    <w:rsid w:val="006A7587"/>
    <w:rsid w:val="006B33C9"/>
    <w:rsid w:val="006F6677"/>
    <w:rsid w:val="007012B9"/>
    <w:rsid w:val="007275CE"/>
    <w:rsid w:val="00730059"/>
    <w:rsid w:val="00735E43"/>
    <w:rsid w:val="007435C6"/>
    <w:rsid w:val="00762A65"/>
    <w:rsid w:val="00767896"/>
    <w:rsid w:val="007762D7"/>
    <w:rsid w:val="00794D98"/>
    <w:rsid w:val="007B7FAE"/>
    <w:rsid w:val="007F40CF"/>
    <w:rsid w:val="0080422C"/>
    <w:rsid w:val="00820523"/>
    <w:rsid w:val="0082498E"/>
    <w:rsid w:val="008620BF"/>
    <w:rsid w:val="008700D0"/>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3BFF"/>
    <w:rsid w:val="00AE660C"/>
    <w:rsid w:val="00BB6B92"/>
    <w:rsid w:val="00BE796C"/>
    <w:rsid w:val="00BF7CFB"/>
    <w:rsid w:val="00C45B84"/>
    <w:rsid w:val="00C73EC2"/>
    <w:rsid w:val="00CA063D"/>
    <w:rsid w:val="00CA4019"/>
    <w:rsid w:val="00CC0D64"/>
    <w:rsid w:val="00CC4378"/>
    <w:rsid w:val="00CD4D68"/>
    <w:rsid w:val="00CF7273"/>
    <w:rsid w:val="00CF77A2"/>
    <w:rsid w:val="00D3514E"/>
    <w:rsid w:val="00D435FE"/>
    <w:rsid w:val="00D61CCF"/>
    <w:rsid w:val="00D757DE"/>
    <w:rsid w:val="00D7716C"/>
    <w:rsid w:val="00D93DC0"/>
    <w:rsid w:val="00D95187"/>
    <w:rsid w:val="00DA1891"/>
    <w:rsid w:val="00DA297B"/>
    <w:rsid w:val="00DA43F3"/>
    <w:rsid w:val="00DC1A22"/>
    <w:rsid w:val="00DC6E69"/>
    <w:rsid w:val="00DF179D"/>
    <w:rsid w:val="00E00722"/>
    <w:rsid w:val="00E27A90"/>
    <w:rsid w:val="00E349BB"/>
    <w:rsid w:val="00E53184"/>
    <w:rsid w:val="00E62675"/>
    <w:rsid w:val="00E760C9"/>
    <w:rsid w:val="00EB3DE6"/>
    <w:rsid w:val="00ED7F99"/>
    <w:rsid w:val="00F46391"/>
    <w:rsid w:val="00F6034A"/>
    <w:rsid w:val="00F667CE"/>
    <w:rsid w:val="00F90477"/>
    <w:rsid w:val="00F945BE"/>
    <w:rsid w:val="00FD45A5"/>
    <w:rsid w:val="00FE5BBC"/>
    <w:rsid w:val="00FE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48439"/>
  <w15:docId w15:val="{0257C369-4887-4BEA-8738-16A751BE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E349BB"/>
    <w:rPr>
      <w:rFonts w:eastAsiaTheme="minorHAnsi" w:cstheme="minorBidi"/>
    </w:rPr>
  </w:style>
  <w:style w:type="paragraph" w:styleId="Heading1">
    <w:name w:val="heading 1"/>
    <w:basedOn w:val="HeadingBase"/>
    <w:next w:val="Normal"/>
    <w:rsid w:val="00E349BB"/>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E349BB"/>
    <w:pPr>
      <w:spacing w:line="240" w:lineRule="atLeast"/>
      <w:jc w:val="center"/>
      <w:outlineLvl w:val="1"/>
    </w:pPr>
    <w:rPr>
      <w:sz w:val="28"/>
    </w:rPr>
  </w:style>
  <w:style w:type="paragraph" w:styleId="Heading3">
    <w:name w:val="heading 3"/>
    <w:basedOn w:val="HeadingBase"/>
    <w:next w:val="BodyText"/>
    <w:rsid w:val="00E349BB"/>
    <w:pPr>
      <w:spacing w:after="240" w:line="240" w:lineRule="atLeast"/>
      <w:outlineLvl w:val="2"/>
    </w:pPr>
    <w:rPr>
      <w:rFonts w:ascii="Arial Black" w:hAnsi="Arial Black"/>
      <w:spacing w:val="-10"/>
    </w:rPr>
  </w:style>
  <w:style w:type="paragraph" w:styleId="Heading4">
    <w:name w:val="heading 4"/>
    <w:basedOn w:val="HeadingBase"/>
    <w:next w:val="BodyText"/>
    <w:rsid w:val="00E349BB"/>
    <w:pPr>
      <w:spacing w:after="240" w:line="240" w:lineRule="atLeast"/>
      <w:outlineLvl w:val="3"/>
    </w:pPr>
  </w:style>
  <w:style w:type="paragraph" w:styleId="Heading5">
    <w:name w:val="heading 5"/>
    <w:basedOn w:val="HeadingBase"/>
    <w:next w:val="BodyText"/>
    <w:rsid w:val="00E349BB"/>
    <w:pPr>
      <w:spacing w:line="240" w:lineRule="atLeast"/>
      <w:ind w:left="1440"/>
      <w:outlineLvl w:val="4"/>
    </w:pPr>
  </w:style>
  <w:style w:type="paragraph" w:styleId="Heading6">
    <w:name w:val="heading 6"/>
    <w:basedOn w:val="HeadingBase"/>
    <w:next w:val="BodyText"/>
    <w:rsid w:val="00E349BB"/>
    <w:pPr>
      <w:ind w:left="1440"/>
      <w:outlineLvl w:val="5"/>
    </w:pPr>
    <w:rPr>
      <w:i/>
    </w:rPr>
  </w:style>
  <w:style w:type="paragraph" w:styleId="Heading7">
    <w:name w:val="heading 7"/>
    <w:basedOn w:val="HeadingBase"/>
    <w:next w:val="BodyText"/>
    <w:rsid w:val="00E349BB"/>
    <w:pPr>
      <w:outlineLvl w:val="6"/>
    </w:pPr>
  </w:style>
  <w:style w:type="paragraph" w:styleId="Heading8">
    <w:name w:val="heading 8"/>
    <w:basedOn w:val="HeadingBase"/>
    <w:next w:val="BodyText"/>
    <w:rsid w:val="00E349BB"/>
    <w:pPr>
      <w:outlineLvl w:val="7"/>
    </w:pPr>
    <w:rPr>
      <w:i/>
      <w:sz w:val="18"/>
    </w:rPr>
  </w:style>
  <w:style w:type="paragraph" w:styleId="Heading9">
    <w:name w:val="heading 9"/>
    <w:basedOn w:val="HeadingBase"/>
    <w:next w:val="BodyText"/>
    <w:rsid w:val="00E349BB"/>
    <w:pPr>
      <w:outlineLvl w:val="8"/>
    </w:pPr>
    <w:rPr>
      <w:sz w:val="18"/>
    </w:rPr>
  </w:style>
  <w:style w:type="character" w:default="1" w:styleId="DefaultParagraphFont">
    <w:name w:val="Default Paragraph Font"/>
    <w:uiPriority w:val="1"/>
    <w:semiHidden/>
    <w:unhideWhenUsed/>
    <w:rsid w:val="00E349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49BB"/>
  </w:style>
  <w:style w:type="paragraph" w:customStyle="1" w:styleId="Mini-Lt">
    <w:name w:val="Mini-Lt"/>
    <w:basedOn w:val="Normal"/>
    <w:autoRedefine/>
    <w:rsid w:val="00E349BB"/>
    <w:rPr>
      <w:sz w:val="18"/>
    </w:rPr>
  </w:style>
  <w:style w:type="paragraph" w:customStyle="1" w:styleId="MiniHeading">
    <w:name w:val="Mini Heading"/>
    <w:basedOn w:val="Normal"/>
    <w:rsid w:val="00E349BB"/>
    <w:rPr>
      <w:b/>
      <w:sz w:val="18"/>
      <w:u w:val="single"/>
    </w:rPr>
  </w:style>
  <w:style w:type="paragraph" w:customStyle="1" w:styleId="DeedInserts">
    <w:name w:val="Deed Inserts"/>
    <w:basedOn w:val="Normal"/>
    <w:rsid w:val="00E349BB"/>
    <w:pPr>
      <w:suppressAutoHyphens/>
    </w:pPr>
    <w:rPr>
      <w:sz w:val="24"/>
    </w:rPr>
  </w:style>
  <w:style w:type="paragraph" w:customStyle="1" w:styleId="PayPlanTable">
    <w:name w:val="PayPlanTable"/>
    <w:basedOn w:val="Normal"/>
    <w:rsid w:val="00E349BB"/>
    <w:pPr>
      <w:jc w:val="center"/>
    </w:pPr>
    <w:rPr>
      <w:b/>
      <w:sz w:val="18"/>
    </w:rPr>
  </w:style>
  <w:style w:type="paragraph" w:customStyle="1" w:styleId="14PtHeader">
    <w:name w:val="14 Pt Header"/>
    <w:basedOn w:val="Normal"/>
    <w:rsid w:val="00E349BB"/>
    <w:pPr>
      <w:jc w:val="center"/>
    </w:pPr>
    <w:rPr>
      <w:b/>
      <w:sz w:val="28"/>
    </w:rPr>
  </w:style>
  <w:style w:type="paragraph" w:customStyle="1" w:styleId="12PtHeader">
    <w:name w:val="12 Pt Header"/>
    <w:basedOn w:val="Normal"/>
    <w:rsid w:val="00E349BB"/>
    <w:pPr>
      <w:jc w:val="center"/>
    </w:pPr>
    <w:rPr>
      <w:b/>
      <w:sz w:val="24"/>
    </w:rPr>
  </w:style>
  <w:style w:type="paragraph" w:customStyle="1" w:styleId="11PtHeader">
    <w:name w:val="11Pt Header"/>
    <w:basedOn w:val="Normal"/>
    <w:rsid w:val="00E349BB"/>
    <w:pPr>
      <w:jc w:val="center"/>
    </w:pPr>
    <w:rPr>
      <w:b/>
    </w:rPr>
  </w:style>
  <w:style w:type="paragraph" w:customStyle="1" w:styleId="Heading-Main">
    <w:name w:val="Heading-Main"/>
    <w:basedOn w:val="Normal"/>
    <w:rsid w:val="00E349BB"/>
    <w:pPr>
      <w:tabs>
        <w:tab w:val="num" w:pos="360"/>
      </w:tabs>
    </w:pPr>
    <w:rPr>
      <w:u w:val="single"/>
    </w:rPr>
  </w:style>
  <w:style w:type="paragraph" w:styleId="Header">
    <w:name w:val="header"/>
    <w:basedOn w:val="Normal"/>
    <w:link w:val="HeaderChar"/>
    <w:rsid w:val="00E349BB"/>
    <w:pPr>
      <w:tabs>
        <w:tab w:val="center" w:pos="4320"/>
        <w:tab w:val="right" w:pos="8640"/>
      </w:tabs>
    </w:pPr>
  </w:style>
  <w:style w:type="paragraph" w:styleId="Footer">
    <w:name w:val="footer"/>
    <w:basedOn w:val="Normal"/>
    <w:rsid w:val="00E349BB"/>
    <w:pPr>
      <w:keepLines/>
      <w:tabs>
        <w:tab w:val="center" w:pos="4320"/>
        <w:tab w:val="right" w:pos="8640"/>
      </w:tabs>
      <w:spacing w:line="190" w:lineRule="atLeast"/>
    </w:pPr>
    <w:rPr>
      <w:caps/>
      <w:sz w:val="16"/>
    </w:rPr>
  </w:style>
  <w:style w:type="character" w:styleId="PageNumber">
    <w:name w:val="page number"/>
    <w:basedOn w:val="DefaultParagraphFont"/>
    <w:rsid w:val="00E349BB"/>
  </w:style>
  <w:style w:type="paragraph" w:styleId="BodyText">
    <w:name w:val="Body Text"/>
    <w:basedOn w:val="Normal"/>
    <w:rsid w:val="00E349BB"/>
    <w:pPr>
      <w:spacing w:line="240" w:lineRule="atLeast"/>
    </w:pPr>
  </w:style>
  <w:style w:type="paragraph" w:styleId="BodyTextFirstIndent">
    <w:name w:val="Body Text First Indent"/>
    <w:aliases w:val="BidB Body Text First Indent"/>
    <w:basedOn w:val="BodyText"/>
    <w:link w:val="BodyTextFirstIndentChar"/>
    <w:autoRedefine/>
    <w:qFormat/>
    <w:rsid w:val="00E349BB"/>
    <w:pPr>
      <w:spacing w:line="240" w:lineRule="auto"/>
      <w:ind w:firstLine="720"/>
    </w:pPr>
  </w:style>
  <w:style w:type="paragraph" w:customStyle="1" w:styleId="1BidStyleLevel1">
    <w:name w:val="1Bid Style Level 1."/>
    <w:basedOn w:val="Normal"/>
    <w:autoRedefine/>
    <w:qFormat/>
    <w:rsid w:val="00E349BB"/>
    <w:pPr>
      <w:numPr>
        <w:numId w:val="20"/>
      </w:numPr>
      <w:tabs>
        <w:tab w:val="clear" w:pos="360"/>
        <w:tab w:val="left" w:pos="720"/>
      </w:tabs>
    </w:pPr>
    <w:rPr>
      <w:caps/>
      <w:u w:val="single"/>
    </w:rPr>
  </w:style>
  <w:style w:type="paragraph" w:customStyle="1" w:styleId="Level2">
    <w:name w:val="Level 2"/>
    <w:basedOn w:val="Normal"/>
    <w:rsid w:val="00E349BB"/>
    <w:pPr>
      <w:numPr>
        <w:ilvl w:val="1"/>
        <w:numId w:val="20"/>
      </w:numPr>
    </w:pPr>
  </w:style>
  <w:style w:type="paragraph" w:customStyle="1" w:styleId="Level3">
    <w:name w:val="Level 3"/>
    <w:basedOn w:val="Normal"/>
    <w:rsid w:val="00E349BB"/>
    <w:pPr>
      <w:numPr>
        <w:ilvl w:val="2"/>
        <w:numId w:val="20"/>
      </w:numPr>
    </w:pPr>
  </w:style>
  <w:style w:type="paragraph" w:customStyle="1" w:styleId="Level4">
    <w:name w:val="Level 4"/>
    <w:basedOn w:val="Normal"/>
    <w:rsid w:val="00E349BB"/>
    <w:pPr>
      <w:numPr>
        <w:ilvl w:val="3"/>
        <w:numId w:val="20"/>
      </w:numPr>
    </w:pPr>
  </w:style>
  <w:style w:type="paragraph" w:customStyle="1" w:styleId="Level5">
    <w:name w:val="Level 5"/>
    <w:basedOn w:val="Normal"/>
    <w:rsid w:val="00E349BB"/>
    <w:pPr>
      <w:numPr>
        <w:ilvl w:val="4"/>
        <w:numId w:val="20"/>
      </w:numPr>
    </w:pPr>
  </w:style>
  <w:style w:type="paragraph" w:customStyle="1" w:styleId="Level6">
    <w:name w:val="Level 6"/>
    <w:basedOn w:val="Normal"/>
    <w:rsid w:val="00E349BB"/>
    <w:pPr>
      <w:numPr>
        <w:ilvl w:val="5"/>
        <w:numId w:val="20"/>
      </w:numPr>
    </w:pPr>
  </w:style>
  <w:style w:type="paragraph" w:customStyle="1" w:styleId="Level7">
    <w:name w:val="Level 7"/>
    <w:basedOn w:val="Normal"/>
    <w:rsid w:val="00E349BB"/>
    <w:pPr>
      <w:numPr>
        <w:ilvl w:val="6"/>
        <w:numId w:val="20"/>
      </w:numPr>
    </w:pPr>
  </w:style>
  <w:style w:type="paragraph" w:customStyle="1" w:styleId="Level2-ParaIndent">
    <w:name w:val="Level 2 - Para Indent"/>
    <w:basedOn w:val="Normal"/>
    <w:rsid w:val="00E349BB"/>
    <w:pPr>
      <w:ind w:firstLine="1440"/>
    </w:pPr>
  </w:style>
  <w:style w:type="paragraph" w:customStyle="1" w:styleId="Level3-ParaIndent">
    <w:name w:val="Level 3 - Para Indent"/>
    <w:basedOn w:val="Normal"/>
    <w:rsid w:val="00E349BB"/>
    <w:pPr>
      <w:ind w:firstLine="2160"/>
    </w:pPr>
  </w:style>
  <w:style w:type="paragraph" w:customStyle="1" w:styleId="HeadingBase">
    <w:name w:val="Heading Base"/>
    <w:basedOn w:val="Normal"/>
    <w:next w:val="BodyText"/>
    <w:rsid w:val="00E349BB"/>
    <w:pPr>
      <w:spacing w:line="220" w:lineRule="atLeast"/>
    </w:pPr>
    <w:rPr>
      <w:kern w:val="28"/>
    </w:rPr>
  </w:style>
  <w:style w:type="paragraph" w:customStyle="1" w:styleId="TOCBase">
    <w:name w:val="TOC Base"/>
    <w:basedOn w:val="Normal"/>
    <w:rsid w:val="00E349BB"/>
    <w:pPr>
      <w:spacing w:after="240" w:line="240" w:lineRule="atLeast"/>
    </w:pPr>
  </w:style>
  <w:style w:type="paragraph" w:styleId="TOC1">
    <w:name w:val="toc 1"/>
    <w:basedOn w:val="TOCBase"/>
    <w:autoRedefine/>
    <w:uiPriority w:val="39"/>
    <w:rsid w:val="00E349BB"/>
    <w:pPr>
      <w:spacing w:before="120" w:after="120" w:line="240" w:lineRule="auto"/>
    </w:pPr>
    <w:rPr>
      <w:bCs/>
      <w:caps/>
    </w:rPr>
  </w:style>
  <w:style w:type="paragraph" w:customStyle="1" w:styleId="CPSTDName">
    <w:name w:val="CP STD Name"/>
    <w:basedOn w:val="Normal"/>
    <w:rsid w:val="00E349BB"/>
    <w:pPr>
      <w:jc w:val="right"/>
    </w:pPr>
  </w:style>
  <w:style w:type="paragraph" w:customStyle="1" w:styleId="HDG1">
    <w:name w:val="HDG 1"/>
    <w:basedOn w:val="HeadingBase"/>
    <w:rsid w:val="00E349BB"/>
    <w:pPr>
      <w:jc w:val="center"/>
    </w:pPr>
    <w:rPr>
      <w:sz w:val="28"/>
    </w:rPr>
  </w:style>
  <w:style w:type="paragraph" w:customStyle="1" w:styleId="BacksHeading2">
    <w:name w:val="Backs Heading 2"/>
    <w:basedOn w:val="Normal"/>
    <w:rsid w:val="00E349BB"/>
    <w:pPr>
      <w:tabs>
        <w:tab w:val="left" w:pos="6480"/>
        <w:tab w:val="right" w:pos="9540"/>
      </w:tabs>
      <w:spacing w:after="120"/>
    </w:pPr>
    <w:rPr>
      <w:u w:val="single"/>
    </w:rPr>
  </w:style>
  <w:style w:type="paragraph" w:styleId="BodyTextIndent">
    <w:name w:val="Body Text Indent"/>
    <w:basedOn w:val="BodyText"/>
    <w:rsid w:val="00E349BB"/>
    <w:pPr>
      <w:ind w:left="1440"/>
    </w:pPr>
  </w:style>
  <w:style w:type="paragraph" w:customStyle="1" w:styleId="Level5-ParaIndent">
    <w:name w:val="Level 5 - Para Indent"/>
    <w:basedOn w:val="Level4-ParaIndent"/>
    <w:rsid w:val="00E349BB"/>
    <w:pPr>
      <w:ind w:firstLine="3600"/>
    </w:pPr>
  </w:style>
  <w:style w:type="paragraph" w:customStyle="1" w:styleId="Level2-Bullet">
    <w:name w:val="Level 2 - Bullet"/>
    <w:basedOn w:val="Normal"/>
    <w:rsid w:val="00E349BB"/>
    <w:pPr>
      <w:tabs>
        <w:tab w:val="num" w:pos="1800"/>
      </w:tabs>
      <w:ind w:firstLine="1440"/>
    </w:pPr>
  </w:style>
  <w:style w:type="paragraph" w:customStyle="1" w:styleId="Level3-Bullet">
    <w:name w:val="Level 3 - Bullet"/>
    <w:basedOn w:val="Normal"/>
    <w:rsid w:val="00E349BB"/>
    <w:pPr>
      <w:tabs>
        <w:tab w:val="num" w:pos="2520"/>
      </w:tabs>
      <w:ind w:firstLine="2160"/>
    </w:pPr>
  </w:style>
  <w:style w:type="paragraph" w:customStyle="1" w:styleId="Level4-ParaIndent">
    <w:name w:val="Level 4 - Para Indent"/>
    <w:basedOn w:val="Normal"/>
    <w:rsid w:val="00E349BB"/>
    <w:pPr>
      <w:ind w:firstLine="2880"/>
    </w:pPr>
  </w:style>
  <w:style w:type="paragraph" w:customStyle="1" w:styleId="Level4-Bullet">
    <w:name w:val="Level 4 - Bullet"/>
    <w:basedOn w:val="Normal"/>
    <w:rsid w:val="00E349BB"/>
    <w:pPr>
      <w:tabs>
        <w:tab w:val="num" w:pos="3240"/>
      </w:tabs>
      <w:ind w:firstLine="2880"/>
    </w:pPr>
  </w:style>
  <w:style w:type="paragraph" w:styleId="TOC2">
    <w:name w:val="toc 2"/>
    <w:aliases w:val="BR201 Title"/>
    <w:basedOn w:val="Normal"/>
    <w:next w:val="Normal"/>
    <w:autoRedefine/>
    <w:uiPriority w:val="39"/>
    <w:rsid w:val="00E349BB"/>
    <w:pPr>
      <w:ind w:left="220"/>
    </w:pPr>
    <w:rPr>
      <w:rFonts w:asciiTheme="minorHAnsi" w:hAnsiTheme="minorHAnsi"/>
      <w:smallCaps/>
    </w:rPr>
  </w:style>
  <w:style w:type="paragraph" w:customStyle="1" w:styleId="Level6-ParaIndent">
    <w:name w:val="Level 6 - Para Indent"/>
    <w:basedOn w:val="Level6"/>
    <w:rsid w:val="00E349BB"/>
    <w:pPr>
      <w:numPr>
        <w:ilvl w:val="0"/>
        <w:numId w:val="0"/>
      </w:numPr>
      <w:ind w:firstLine="4320"/>
    </w:pPr>
  </w:style>
  <w:style w:type="paragraph" w:customStyle="1" w:styleId="Level7-ParaIndent">
    <w:name w:val="Level 7 - Para Indent"/>
    <w:basedOn w:val="Level7"/>
    <w:rsid w:val="00E349BB"/>
    <w:pPr>
      <w:numPr>
        <w:ilvl w:val="0"/>
        <w:numId w:val="0"/>
      </w:numPr>
      <w:ind w:firstLine="5040"/>
    </w:pPr>
  </w:style>
  <w:style w:type="paragraph" w:customStyle="1" w:styleId="Bullet-Text">
    <w:name w:val="Bullet - Text"/>
    <w:basedOn w:val="Normal"/>
    <w:autoRedefine/>
    <w:qFormat/>
    <w:rsid w:val="00E349BB"/>
    <w:pPr>
      <w:numPr>
        <w:numId w:val="6"/>
      </w:numPr>
      <w:tabs>
        <w:tab w:val="clear" w:pos="1800"/>
        <w:tab w:val="left" w:pos="720"/>
      </w:tabs>
    </w:pPr>
  </w:style>
  <w:style w:type="paragraph" w:styleId="TOC3">
    <w:name w:val="toc 3"/>
    <w:basedOn w:val="Normal"/>
    <w:next w:val="Normal"/>
    <w:autoRedefine/>
    <w:uiPriority w:val="39"/>
    <w:semiHidden/>
    <w:qFormat/>
    <w:rsid w:val="00E349BB"/>
    <w:pPr>
      <w:ind w:left="440"/>
    </w:pPr>
    <w:rPr>
      <w:rFonts w:asciiTheme="minorHAnsi" w:hAnsiTheme="minorHAnsi"/>
      <w:i/>
      <w:iCs/>
    </w:rPr>
  </w:style>
  <w:style w:type="paragraph" w:styleId="TOC4">
    <w:name w:val="toc 4"/>
    <w:basedOn w:val="Normal"/>
    <w:next w:val="Normal"/>
    <w:autoRedefine/>
    <w:semiHidden/>
    <w:rsid w:val="00E349BB"/>
    <w:pPr>
      <w:ind w:left="660"/>
    </w:pPr>
    <w:rPr>
      <w:rFonts w:asciiTheme="minorHAnsi" w:hAnsiTheme="minorHAnsi"/>
      <w:sz w:val="18"/>
      <w:szCs w:val="18"/>
    </w:rPr>
  </w:style>
  <w:style w:type="paragraph" w:styleId="TOC5">
    <w:name w:val="toc 5"/>
    <w:basedOn w:val="Normal"/>
    <w:next w:val="Normal"/>
    <w:autoRedefine/>
    <w:semiHidden/>
    <w:rsid w:val="00E349BB"/>
    <w:pPr>
      <w:ind w:left="880"/>
    </w:pPr>
    <w:rPr>
      <w:rFonts w:asciiTheme="minorHAnsi" w:hAnsiTheme="minorHAnsi"/>
      <w:sz w:val="18"/>
      <w:szCs w:val="18"/>
    </w:rPr>
  </w:style>
  <w:style w:type="paragraph" w:styleId="TOC6">
    <w:name w:val="toc 6"/>
    <w:basedOn w:val="Normal"/>
    <w:next w:val="Normal"/>
    <w:autoRedefine/>
    <w:semiHidden/>
    <w:rsid w:val="00E349BB"/>
    <w:pPr>
      <w:ind w:left="1100"/>
    </w:pPr>
    <w:rPr>
      <w:rFonts w:asciiTheme="minorHAnsi" w:hAnsiTheme="minorHAnsi"/>
      <w:sz w:val="18"/>
      <w:szCs w:val="18"/>
    </w:rPr>
  </w:style>
  <w:style w:type="paragraph" w:styleId="TOC7">
    <w:name w:val="toc 7"/>
    <w:basedOn w:val="Normal"/>
    <w:next w:val="Normal"/>
    <w:autoRedefine/>
    <w:semiHidden/>
    <w:rsid w:val="00E349BB"/>
    <w:pPr>
      <w:ind w:left="1320"/>
    </w:pPr>
    <w:rPr>
      <w:rFonts w:asciiTheme="minorHAnsi" w:hAnsiTheme="minorHAnsi"/>
      <w:sz w:val="18"/>
      <w:szCs w:val="18"/>
    </w:rPr>
  </w:style>
  <w:style w:type="paragraph" w:styleId="TOC8">
    <w:name w:val="toc 8"/>
    <w:basedOn w:val="Normal"/>
    <w:next w:val="Normal"/>
    <w:autoRedefine/>
    <w:semiHidden/>
    <w:rsid w:val="00E349BB"/>
    <w:pPr>
      <w:ind w:left="1540"/>
    </w:pPr>
    <w:rPr>
      <w:rFonts w:asciiTheme="minorHAnsi" w:hAnsiTheme="minorHAnsi"/>
      <w:sz w:val="18"/>
      <w:szCs w:val="18"/>
    </w:rPr>
  </w:style>
  <w:style w:type="paragraph" w:styleId="TOC9">
    <w:name w:val="toc 9"/>
    <w:basedOn w:val="Normal"/>
    <w:next w:val="Normal"/>
    <w:autoRedefine/>
    <w:semiHidden/>
    <w:rsid w:val="00E349BB"/>
    <w:pPr>
      <w:ind w:left="1760"/>
    </w:pPr>
    <w:rPr>
      <w:rFonts w:asciiTheme="minorHAnsi" w:hAnsiTheme="minorHAnsi"/>
      <w:sz w:val="18"/>
      <w:szCs w:val="18"/>
    </w:rPr>
  </w:style>
  <w:style w:type="character" w:styleId="Hyperlink">
    <w:name w:val="Hyperlink"/>
    <w:basedOn w:val="DefaultParagraphFont"/>
    <w:uiPriority w:val="99"/>
    <w:rsid w:val="00E349BB"/>
    <w:rPr>
      <w:color w:val="0000FF"/>
      <w:u w:val="single"/>
    </w:rPr>
  </w:style>
  <w:style w:type="character" w:customStyle="1" w:styleId="BodyTextFirstIndentChar">
    <w:name w:val="Body Text First Indent Char"/>
    <w:aliases w:val="BidB Body Text First Indent Char"/>
    <w:basedOn w:val="DefaultParagraphFont"/>
    <w:link w:val="BodyTextFirstIndent"/>
    <w:rsid w:val="00E349BB"/>
    <w:rPr>
      <w:rFonts w:eastAsiaTheme="minorHAnsi" w:cstheme="minorBidi"/>
    </w:rPr>
  </w:style>
  <w:style w:type="paragraph" w:customStyle="1" w:styleId="1BidStyle1">
    <w:name w:val="1Bid Style 1."/>
    <w:basedOn w:val="1BidStyleLevel1"/>
    <w:rsid w:val="00E349BB"/>
  </w:style>
  <w:style w:type="paragraph" w:customStyle="1" w:styleId="2BidStyleA">
    <w:name w:val="2Bid Style A."/>
    <w:basedOn w:val="Level2"/>
    <w:autoRedefine/>
    <w:qFormat/>
    <w:rsid w:val="00E349BB"/>
    <w:pPr>
      <w:tabs>
        <w:tab w:val="clear" w:pos="1080"/>
      </w:tabs>
    </w:pPr>
  </w:style>
  <w:style w:type="paragraph" w:customStyle="1" w:styleId="3BidStyle1">
    <w:name w:val="3Bid Style 1)"/>
    <w:basedOn w:val="Level3"/>
    <w:autoRedefine/>
    <w:qFormat/>
    <w:rsid w:val="00E349BB"/>
    <w:pPr>
      <w:tabs>
        <w:tab w:val="clear" w:pos="1080"/>
      </w:tabs>
    </w:pPr>
  </w:style>
  <w:style w:type="paragraph" w:customStyle="1" w:styleId="4BidStylea">
    <w:name w:val="4Bid Style a)"/>
    <w:basedOn w:val="Level4"/>
    <w:autoRedefine/>
    <w:qFormat/>
    <w:rsid w:val="00E349BB"/>
    <w:pPr>
      <w:tabs>
        <w:tab w:val="clear" w:pos="1080"/>
        <w:tab w:val="left" w:pos="720"/>
      </w:tabs>
    </w:pPr>
  </w:style>
  <w:style w:type="paragraph" w:customStyle="1" w:styleId="5BidStyle1">
    <w:name w:val="5Bid Style (1)"/>
    <w:basedOn w:val="Level5"/>
    <w:autoRedefine/>
    <w:qFormat/>
    <w:rsid w:val="00E349BB"/>
    <w:pPr>
      <w:tabs>
        <w:tab w:val="clear" w:pos="1080"/>
        <w:tab w:val="left" w:pos="720"/>
      </w:tabs>
    </w:pPr>
  </w:style>
  <w:style w:type="paragraph" w:customStyle="1" w:styleId="6BidStylea">
    <w:name w:val="6Bid Style (a)"/>
    <w:basedOn w:val="Level6"/>
    <w:autoRedefine/>
    <w:qFormat/>
    <w:rsid w:val="00E349BB"/>
    <w:pPr>
      <w:tabs>
        <w:tab w:val="clear" w:pos="1080"/>
        <w:tab w:val="left" w:pos="720"/>
      </w:tabs>
    </w:pPr>
  </w:style>
  <w:style w:type="paragraph" w:customStyle="1" w:styleId="7BidStylei">
    <w:name w:val="7Bid Style i)"/>
    <w:basedOn w:val="Level7"/>
    <w:autoRedefine/>
    <w:qFormat/>
    <w:rsid w:val="00E349BB"/>
  </w:style>
  <w:style w:type="paragraph" w:styleId="TOCHeading">
    <w:name w:val="TOC Heading"/>
    <w:basedOn w:val="Heading1"/>
    <w:next w:val="Normal"/>
    <w:uiPriority w:val="39"/>
    <w:semiHidden/>
    <w:unhideWhenUsed/>
    <w:qFormat/>
    <w:rsid w:val="00E349BB"/>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E349BB"/>
    <w:rPr>
      <w:rFonts w:ascii="Tahoma" w:hAnsi="Tahoma" w:cs="Tahoma"/>
      <w:sz w:val="16"/>
      <w:szCs w:val="16"/>
    </w:rPr>
  </w:style>
  <w:style w:type="character" w:customStyle="1" w:styleId="BalloonTextChar">
    <w:name w:val="Balloon Text Char"/>
    <w:basedOn w:val="DefaultParagraphFont"/>
    <w:link w:val="BalloonText"/>
    <w:rsid w:val="00E349BB"/>
    <w:rPr>
      <w:rFonts w:ascii="Tahoma" w:eastAsiaTheme="minorHAnsi" w:hAnsi="Tahoma" w:cs="Tahoma"/>
      <w:sz w:val="16"/>
      <w:szCs w:val="16"/>
    </w:rPr>
  </w:style>
  <w:style w:type="character" w:styleId="PlaceholderText">
    <w:name w:val="Placeholder Text"/>
    <w:basedOn w:val="DefaultParagraphFont"/>
    <w:uiPriority w:val="99"/>
    <w:semiHidden/>
    <w:rsid w:val="00E349BB"/>
    <w:rPr>
      <w:color w:val="808080"/>
    </w:rPr>
  </w:style>
  <w:style w:type="character" w:customStyle="1" w:styleId="HeaderChar">
    <w:name w:val="Header Char"/>
    <w:basedOn w:val="DefaultParagraphFont"/>
    <w:link w:val="Header"/>
    <w:rsid w:val="00E349BB"/>
    <w:rPr>
      <w:rFonts w:eastAsiaTheme="minorHAnsi" w:cstheme="minorBidi"/>
    </w:rPr>
  </w:style>
  <w:style w:type="paragraph" w:styleId="ListParagraph">
    <w:name w:val="List Paragraph"/>
    <w:basedOn w:val="Normal"/>
    <w:uiPriority w:val="34"/>
    <w:rsid w:val="00E349BB"/>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E349BB"/>
    <w:rPr>
      <w:rFonts w:ascii="Arial" w:hAnsi="Arial"/>
      <w:sz w:val="22"/>
    </w:rPr>
  </w:style>
  <w:style w:type="character" w:customStyle="1" w:styleId="Style8">
    <w:name w:val="Style8"/>
    <w:basedOn w:val="DefaultParagraphFont"/>
    <w:uiPriority w:val="1"/>
    <w:rsid w:val="00E349BB"/>
    <w:rPr>
      <w:rFonts w:ascii="Arial" w:hAnsi="Arial"/>
      <w:sz w:val="22"/>
    </w:rPr>
  </w:style>
  <w:style w:type="character" w:customStyle="1" w:styleId="Style11">
    <w:name w:val="Style11"/>
    <w:basedOn w:val="DefaultParagraphFont"/>
    <w:uiPriority w:val="1"/>
    <w:rsid w:val="00E349BB"/>
    <w:rPr>
      <w:rFonts w:ascii="Arial" w:hAnsi="Arial"/>
      <w:sz w:val="22"/>
    </w:rPr>
  </w:style>
  <w:style w:type="character" w:customStyle="1" w:styleId="Style14">
    <w:name w:val="Style14"/>
    <w:basedOn w:val="DefaultParagraphFont"/>
    <w:uiPriority w:val="1"/>
    <w:rsid w:val="00E349BB"/>
    <w:rPr>
      <w:rFonts w:ascii="Arial" w:hAnsi="Arial"/>
      <w:b/>
      <w:sz w:val="22"/>
    </w:rPr>
  </w:style>
  <w:style w:type="character" w:customStyle="1" w:styleId="Style16">
    <w:name w:val="Style16"/>
    <w:basedOn w:val="DefaultParagraphFont"/>
    <w:uiPriority w:val="1"/>
    <w:rsid w:val="00E349BB"/>
    <w:rPr>
      <w:rFonts w:ascii="Arial" w:hAnsi="Arial"/>
      <w:b/>
      <w:sz w:val="28"/>
    </w:rPr>
  </w:style>
  <w:style w:type="character" w:customStyle="1" w:styleId="Style17">
    <w:name w:val="Style17"/>
    <w:basedOn w:val="DefaultParagraphFont"/>
    <w:uiPriority w:val="1"/>
    <w:rsid w:val="00E349BB"/>
    <w:rPr>
      <w:rFonts w:ascii="Arial" w:hAnsi="Arial"/>
      <w:b/>
      <w:sz w:val="28"/>
    </w:rPr>
  </w:style>
  <w:style w:type="character" w:customStyle="1" w:styleId="Style18">
    <w:name w:val="Style18"/>
    <w:basedOn w:val="DefaultParagraphFont"/>
    <w:uiPriority w:val="1"/>
    <w:rsid w:val="00E349BB"/>
    <w:rPr>
      <w:rFonts w:ascii="Arial" w:hAnsi="Arial"/>
      <w:sz w:val="22"/>
    </w:rPr>
  </w:style>
  <w:style w:type="character" w:customStyle="1" w:styleId="Style19">
    <w:name w:val="Style19"/>
    <w:basedOn w:val="DefaultParagraphFont"/>
    <w:uiPriority w:val="1"/>
    <w:rsid w:val="00E349BB"/>
    <w:rPr>
      <w:rFonts w:ascii="Arial" w:hAnsi="Arial"/>
      <w:sz w:val="22"/>
    </w:rPr>
  </w:style>
  <w:style w:type="character" w:customStyle="1" w:styleId="Style22">
    <w:name w:val="Style22"/>
    <w:basedOn w:val="DefaultParagraphFont"/>
    <w:uiPriority w:val="1"/>
    <w:rsid w:val="00E349BB"/>
    <w:rPr>
      <w:b/>
    </w:rPr>
  </w:style>
  <w:style w:type="table" w:styleId="TableGrid">
    <w:name w:val="Table Grid"/>
    <w:basedOn w:val="TableNormal"/>
    <w:rsid w:val="00824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20523"/>
    <w:rPr>
      <w:sz w:val="16"/>
      <w:szCs w:val="16"/>
    </w:rPr>
  </w:style>
  <w:style w:type="paragraph" w:styleId="CommentText">
    <w:name w:val="annotation text"/>
    <w:basedOn w:val="Normal"/>
    <w:link w:val="CommentTextChar"/>
    <w:semiHidden/>
    <w:unhideWhenUsed/>
    <w:rsid w:val="00820523"/>
    <w:rPr>
      <w:sz w:val="20"/>
      <w:szCs w:val="20"/>
    </w:rPr>
  </w:style>
  <w:style w:type="character" w:customStyle="1" w:styleId="CommentTextChar">
    <w:name w:val="Comment Text Char"/>
    <w:basedOn w:val="DefaultParagraphFont"/>
    <w:link w:val="CommentText"/>
    <w:semiHidden/>
    <w:rsid w:val="00820523"/>
    <w:rPr>
      <w:rFonts w:eastAsiaTheme="minorHAnsi" w:cstheme="minorBidi"/>
      <w:sz w:val="20"/>
      <w:szCs w:val="20"/>
    </w:rPr>
  </w:style>
  <w:style w:type="paragraph" w:styleId="CommentSubject">
    <w:name w:val="annotation subject"/>
    <w:basedOn w:val="CommentText"/>
    <w:next w:val="CommentText"/>
    <w:link w:val="CommentSubjectChar"/>
    <w:semiHidden/>
    <w:unhideWhenUsed/>
    <w:rsid w:val="00820523"/>
    <w:rPr>
      <w:b/>
      <w:bCs/>
    </w:rPr>
  </w:style>
  <w:style w:type="character" w:customStyle="1" w:styleId="CommentSubjectChar">
    <w:name w:val="Comment Subject Char"/>
    <w:basedOn w:val="CommentTextChar"/>
    <w:link w:val="CommentSubject"/>
    <w:semiHidden/>
    <w:rsid w:val="00820523"/>
    <w:rPr>
      <w:rFonts w:eastAsia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Bridge\Bridge_Access\Special_Provisions_Review\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42</TotalTime>
  <Pages>5</Pages>
  <Words>1930</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12416</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Haddick, Nathan</cp:lastModifiedBy>
  <cp:revision>6</cp:revision>
  <cp:lastPrinted>1999-11-10T15:48:00Z</cp:lastPrinted>
  <dcterms:created xsi:type="dcterms:W3CDTF">2020-11-02T22:37:00Z</dcterms:created>
  <dcterms:modified xsi:type="dcterms:W3CDTF">2020-11-13T15:04:00Z</dcterms:modified>
</cp:coreProperties>
</file>